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3368ds3asr.htm"/>
        <w:bookmarkStart w:id="1" w:name="ksd33368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August 6,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CBIZ,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22-2769024</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5959 Rockside Woods Blvd. N., Suite 600 </w:t>
      </w:r>
    </w:p>
    <w:p>
      <w:pPr>
        <w:pStyle w:val="TextBody"/>
        <w:bidi w:val="0"/>
        <w:spacing w:before="0" w:after="0"/>
        <w:jc w:val="center"/>
        <w:rPr>
          <w:rFonts w:ascii="Times New Roman" w:hAnsi="Times New Roman"/>
          <w:b/>
          <w:sz w:val="18"/>
        </w:rPr>
      </w:pPr>
      <w:r>
        <w:rPr>
          <w:rFonts w:ascii="Times New Roman" w:hAnsi="Times New Roman"/>
          <w:b/>
          <w:sz w:val="18"/>
        </w:rPr>
        <w:t xml:space="preserve">Independence, OH 44131 </w:t>
      </w:r>
    </w:p>
    <w:p>
      <w:pPr>
        <w:pStyle w:val="TextBody"/>
        <w:bidi w:val="0"/>
        <w:spacing w:before="0" w:after="0"/>
        <w:jc w:val="center"/>
        <w:rPr>
          <w:rFonts w:ascii="Times New Roman" w:hAnsi="Times New Roman"/>
          <w:b/>
          <w:sz w:val="18"/>
        </w:rPr>
      </w:pPr>
      <w:r>
        <w:rPr>
          <w:rFonts w:ascii="Times New Roman" w:hAnsi="Times New Roman"/>
          <w:b/>
          <w:sz w:val="18"/>
        </w:rPr>
        <w:t xml:space="preserve">(216) 447-9000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Jaileah X. Huddleston, Esq. </w:t>
      </w:r>
    </w:p>
    <w:p>
      <w:pPr>
        <w:pStyle w:val="TextBody"/>
        <w:bidi w:val="0"/>
        <w:spacing w:before="0" w:after="0"/>
        <w:jc w:val="center"/>
        <w:rPr>
          <w:rFonts w:ascii="Times New Roman" w:hAnsi="Times New Roman"/>
          <w:b/>
          <w:sz w:val="18"/>
        </w:rPr>
      </w:pPr>
      <w:r>
        <w:rPr>
          <w:rFonts w:ascii="Times New Roman" w:hAnsi="Times New Roman"/>
          <w:b/>
          <w:sz w:val="18"/>
        </w:rPr>
        <w:t xml:space="preserve">CBIZ, Inc. </w:t>
      </w:r>
    </w:p>
    <w:p>
      <w:pPr>
        <w:pStyle w:val="TextBody"/>
        <w:bidi w:val="0"/>
        <w:spacing w:before="0" w:after="0"/>
        <w:jc w:val="center"/>
        <w:rPr>
          <w:rFonts w:ascii="Times New Roman" w:hAnsi="Times New Roman"/>
          <w:b/>
          <w:sz w:val="18"/>
        </w:rPr>
      </w:pPr>
      <w:r>
        <w:rPr>
          <w:rFonts w:ascii="Times New Roman" w:hAnsi="Times New Roman"/>
          <w:b/>
          <w:sz w:val="18"/>
        </w:rPr>
        <w:t xml:space="preserve">Senior Vice President, Chief Legal Officer, and Corporate Secretary </w:t>
      </w:r>
    </w:p>
    <w:p>
      <w:pPr>
        <w:pStyle w:val="TextBody"/>
        <w:bidi w:val="0"/>
        <w:spacing w:before="0" w:after="0"/>
        <w:jc w:val="center"/>
        <w:rPr>
          <w:rFonts w:ascii="Times New Roman" w:hAnsi="Times New Roman"/>
          <w:b/>
          <w:sz w:val="18"/>
        </w:rPr>
      </w:pPr>
      <w:r>
        <w:rPr>
          <w:rFonts w:ascii="Times New Roman" w:hAnsi="Times New Roman"/>
          <w:b/>
          <w:sz w:val="18"/>
        </w:rPr>
        <w:t xml:space="preserve">5959 Rockside Woods Blvd. N., Suite 600 </w:t>
      </w:r>
    </w:p>
    <w:p>
      <w:pPr>
        <w:pStyle w:val="TextBody"/>
        <w:bidi w:val="0"/>
        <w:spacing w:before="0" w:after="0"/>
        <w:jc w:val="center"/>
        <w:rPr>
          <w:rFonts w:ascii="Times New Roman" w:hAnsi="Times New Roman"/>
          <w:b/>
          <w:sz w:val="18"/>
        </w:rPr>
      </w:pPr>
      <w:r>
        <w:rPr>
          <w:rFonts w:ascii="Times New Roman" w:hAnsi="Times New Roman"/>
          <w:b/>
          <w:sz w:val="18"/>
        </w:rPr>
        <w:t xml:space="preserve">Independence, OH 44131 </w:t>
      </w:r>
    </w:p>
    <w:p>
      <w:pPr>
        <w:pStyle w:val="TextBody"/>
        <w:bidi w:val="0"/>
        <w:spacing w:before="0" w:after="0"/>
        <w:jc w:val="center"/>
        <w:rPr>
          <w:rFonts w:ascii="Times New Roman" w:hAnsi="Times New Roman"/>
          <w:b/>
          <w:sz w:val="18"/>
        </w:rPr>
      </w:pPr>
      <w:r>
        <w:rPr>
          <w:rFonts w:ascii="Times New Roman" w:hAnsi="Times New Roman"/>
          <w:b/>
          <w:sz w:val="18"/>
        </w:rPr>
        <w:t xml:space="preserve">Telephone: (216) 447-9000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120" w:after="0"/>
        <w:jc w:val="center"/>
        <w:rPr>
          <w:rFonts w:ascii="Times New Roman" w:hAnsi="Times New Roman"/>
          <w:b/>
          <w:sz w:val="18"/>
        </w:rPr>
      </w:pPr>
      <w:r>
        <w:rPr>
          <w:rFonts w:ascii="Times New Roman" w:hAnsi="Times New Roman"/>
          <w:b/>
          <w:sz w:val="18"/>
        </w:rPr>
        <w:t xml:space="preserve">Michael B. Hickey, Esq. </w:t>
      </w:r>
    </w:p>
    <w:p>
      <w:pPr>
        <w:pStyle w:val="TextBody"/>
        <w:bidi w:val="0"/>
        <w:spacing w:before="0" w:after="0"/>
        <w:jc w:val="center"/>
        <w:rPr>
          <w:rFonts w:ascii="Times New Roman" w:hAnsi="Times New Roman"/>
          <w:b/>
          <w:sz w:val="18"/>
        </w:rPr>
      </w:pPr>
      <w:r>
        <w:rPr>
          <w:rFonts w:ascii="Times New Roman" w:hAnsi="Times New Roman"/>
          <w:b/>
          <w:sz w:val="18"/>
        </w:rPr>
        <w:t xml:space="preserve">Ashley J. Butler, Esq. </w:t>
      </w:r>
    </w:p>
    <w:p>
      <w:pPr>
        <w:pStyle w:val="TextBody"/>
        <w:bidi w:val="0"/>
        <w:spacing w:before="0" w:after="0"/>
        <w:jc w:val="center"/>
        <w:rPr>
          <w:rFonts w:ascii="Times New Roman" w:hAnsi="Times New Roman"/>
          <w:b/>
          <w:sz w:val="18"/>
        </w:rPr>
      </w:pPr>
      <w:r>
        <w:rPr>
          <w:rFonts w:ascii="Times New Roman" w:hAnsi="Times New Roman"/>
          <w:b/>
          <w:sz w:val="18"/>
        </w:rPr>
        <w:t xml:space="preserve">Weil, Gotshal &amp; Manges LLP </w:t>
      </w:r>
    </w:p>
    <w:p>
      <w:pPr>
        <w:pStyle w:val="TextBody"/>
        <w:bidi w:val="0"/>
        <w:spacing w:before="0" w:after="0"/>
        <w:jc w:val="center"/>
        <w:rPr>
          <w:rFonts w:ascii="Times New Roman" w:hAnsi="Times New Roman"/>
          <w:b/>
          <w:sz w:val="18"/>
        </w:rPr>
      </w:pPr>
      <w:r>
        <w:rPr>
          <w:rFonts w:ascii="Times New Roman" w:hAnsi="Times New Roman"/>
          <w:b/>
          <w:sz w:val="18"/>
        </w:rPr>
        <w:t xml:space="preserve">767 Fifth Avenue </w:t>
      </w:r>
    </w:p>
    <w:p>
      <w:pPr>
        <w:pStyle w:val="TextBody"/>
        <w:bidi w:val="0"/>
        <w:spacing w:before="0" w:after="0"/>
        <w:jc w:val="center"/>
        <w:rPr>
          <w:rFonts w:ascii="Times New Roman" w:hAnsi="Times New Roman"/>
          <w:b/>
          <w:sz w:val="18"/>
        </w:rPr>
      </w:pPr>
      <w:r>
        <w:rPr>
          <w:rFonts w:ascii="Times New Roman" w:hAnsi="Times New Roman"/>
          <w:b/>
          <w:sz w:val="18"/>
        </w:rPr>
        <w:t xml:space="preserve">New York, New York 10153 </w:t>
      </w:r>
    </w:p>
    <w:p>
      <w:pPr>
        <w:pStyle w:val="TextBody"/>
        <w:bidi w:val="0"/>
        <w:spacing w:before="0" w:after="0"/>
        <w:jc w:val="center"/>
        <w:rPr>
          <w:rFonts w:ascii="Times New Roman" w:hAnsi="Times New Roman"/>
          <w:b/>
          <w:sz w:val="18"/>
        </w:rPr>
      </w:pPr>
      <w:r>
        <w:rPr>
          <w:rFonts w:ascii="Times New Roman" w:hAnsi="Times New Roman"/>
          <w:b/>
          <w:sz w:val="18"/>
        </w:rPr>
        <w:t xml:space="preserve">(212) 310-8000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Approximate date of commencement of proposed sale to the public: </w:t>
      </w:r>
    </w:p>
    <w:p>
      <w:pPr>
        <w:pStyle w:val="TextBody"/>
        <w:bidi w:val="0"/>
        <w:spacing w:before="0" w:after="0"/>
        <w:jc w:val="center"/>
        <w:rPr>
          <w:rFonts w:ascii="Times New Roman" w:hAnsi="Times New Roman"/>
          <w:sz w:val="18"/>
        </w:rPr>
      </w:pPr>
      <w:r>
        <w:rPr>
          <w:rFonts w:ascii="Times New Roman" w:hAnsi="Times New Roman"/>
          <w:sz w:val="18"/>
        </w:rPr>
        <w:t xml:space="preserve">From time to time after the effective date of this Registration Statement. </w:t>
      </w:r>
    </w:p>
    <w:p>
      <w:pPr>
        <w:pStyle w:val="TextBody"/>
        <w:bidi w:val="0"/>
        <w:spacing w:before="12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6"/>
        <w:gridCol w:w="104"/>
        <w:gridCol w:w="4834"/>
        <w:gridCol w:w="133"/>
        <w:gridCol w:w="2607"/>
        <w:gridCol w:w="104"/>
        <w:gridCol w:w="267"/>
      </w:tblGrid>
      <w:tr>
        <w:trPr/>
        <w:tc>
          <w:tcPr>
            <w:tcW w:w="215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3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56" w:type="dxa"/>
            <w:tcBorders/>
            <w:vAlign w:val="center"/>
          </w:tcPr>
          <w:p>
            <w:pPr>
              <w:pStyle w:val="TableContents"/>
              <w:bidi w:val="0"/>
              <w:spacing w:before="0" w:after="283"/>
              <w:jc w:val="left"/>
              <w:rPr>
                <w:sz w:val="4"/>
                <w:szCs w:val="4"/>
              </w:rPr>
            </w:pPr>
            <w:r>
              <w:rPr>
                <w:sz w:val="4"/>
                <w:szCs w:val="4"/>
              </w:rPr>
            </w:r>
          </w:p>
        </w:tc>
        <w:tc>
          <w:tcPr>
            <w:tcW w:w="4938" w:type="dxa"/>
            <w:gridSpan w:val="2"/>
            <w:tcBorders/>
            <w:vAlign w:val="center"/>
          </w:tcPr>
          <w:p>
            <w:pPr>
              <w:pStyle w:val="TableContents"/>
              <w:bidi w:val="0"/>
              <w:spacing w:before="0" w:after="283"/>
              <w:jc w:val="left"/>
              <w:rPr>
                <w:sz w:val="4"/>
                <w:szCs w:val="4"/>
              </w:rPr>
            </w:pPr>
            <w:r>
              <w:rPr>
                <w:sz w:val="4"/>
                <w:szCs w:val="4"/>
              </w:rPr>
            </w:r>
          </w:p>
        </w:tc>
        <w:tc>
          <w:tcPr>
            <w:tcW w:w="2740"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56" w:type="dxa"/>
            <w:tcBorders/>
            <w:vAlign w:val="center"/>
          </w:tcPr>
          <w:p>
            <w:pPr>
              <w:pStyle w:val="TableContents"/>
              <w:bidi w:val="0"/>
              <w:spacing w:before="0" w:after="283"/>
              <w:jc w:val="left"/>
              <w:rPr>
                <w:sz w:val="4"/>
                <w:szCs w:val="4"/>
              </w:rPr>
            </w:pPr>
            <w:r>
              <w:rPr>
                <w:sz w:val="4"/>
                <w:szCs w:val="4"/>
              </w:rPr>
            </w:r>
          </w:p>
        </w:tc>
        <w:tc>
          <w:tcPr>
            <w:tcW w:w="4938" w:type="dxa"/>
            <w:gridSpan w:val="2"/>
            <w:tcBorders/>
            <w:vAlign w:val="center"/>
          </w:tcPr>
          <w:p>
            <w:pPr>
              <w:pStyle w:val="TableContents"/>
              <w:bidi w:val="0"/>
              <w:spacing w:before="0" w:after="283"/>
              <w:jc w:val="left"/>
              <w:rPr>
                <w:sz w:val="4"/>
                <w:szCs w:val="4"/>
              </w:rPr>
            </w:pPr>
            <w:r>
              <w:rPr>
                <w:sz w:val="4"/>
                <w:szCs w:val="4"/>
              </w:rPr>
            </w:r>
          </w:p>
        </w:tc>
        <w:tc>
          <w:tcPr>
            <w:tcW w:w="2740"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CBIZ, INC. </w:t>
      </w:r>
    </w:p>
    <w:p>
      <w:pPr>
        <w:pStyle w:val="TextBody"/>
        <w:bidi w:val="0"/>
        <w:spacing w:before="240" w:after="0"/>
        <w:jc w:val="center"/>
        <w:rPr>
          <w:rFonts w:ascii="Times New Roman" w:hAnsi="Times New Roman"/>
          <w:b/>
          <w:sz w:val="28"/>
        </w:rPr>
      </w:pPr>
      <w:r>
        <w:rPr>
          <w:rFonts w:ascii="Times New Roman" w:hAnsi="Times New Roman"/>
          <w:b/>
          <w:sz w:val="28"/>
        </w:rPr>
        <w:t xml:space="preserve">481,049 Shares of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Acquired under the CBIZ, Inc. 2007 Amended and Restated Employee Stock Purchase Plan, as amended </w:t>
      </w:r>
    </w:p>
    <w:p>
      <w:pPr>
        <w:pStyle w:val="TextBody"/>
        <w:bidi w:val="0"/>
        <w:spacing w:before="0" w:after="0"/>
        <w:jc w:val="center"/>
        <w:rPr>
          <w:rFonts w:ascii="Times New Roman" w:hAnsi="Times New Roman"/>
          <w:b/>
          <w:sz w:val="20"/>
        </w:rPr>
      </w:pPr>
      <w:r>
        <w:rPr>
          <w:rFonts w:ascii="Times New Roman" w:hAnsi="Times New Roman"/>
          <w:b/>
          <w:sz w:val="20"/>
        </w:rPr>
        <w:t xml:space="preserve">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under the terms and conditions described in this prospectus, to rescind (the “Rescission Offer”) the acquisition of up to 481,049 shares of our common stock, par value $0.01 per share (the “Common Stock”), by persons who acquired such shares of Common Stock pursuant to the CBIZ, Inc. 2007 Amended and Restated Employee Stock Purchase Plan, as amended (the “ESPP”) between October 16, 2023 and April 15, 2026 (the “Purchase Period”). The number of shares of Common Stock listed on this cover page, which we are offering to rescind, has been rounded up to the nearest whole share, as fractional shares of Common Stock were issued pursuant to the ESPP during the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The Rescission Offer applies to shares of Common Stock acquired during the Purchase Period pursuant to the ESPP at prices ranging from $26.12 per share to $86.82 per share (inclusive of amounts payable by us pursuant to the terms of the ESPP). If you acquired shares of Common Stock pursuant to the ESPP during the Purchase Period (such shares, the “Eligible Shares”) and you accept the Rescission Offer, you will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Eligible Shares you have previously sold at a loss, an amount equal to the excess of the purchase price paid for such shares upon your acquisition under the ESPP (i.e., the discounted purchase price under the ESPP) over the proceeds from the sale of such shares, plus an amount equal to interest (i) on the amount you paid for such shares (i.e., the discounted purchase price under the ESPP) for the period from the date of acquisition through the date of sale and (ii) on the loss from the sale of such shares for the period from (but excluding) the date of sale through the Expiration Date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Eligible Shares you currently hold, upon your delivery of any such shares to Computershare Trust Company, N.A. (“Computershare”) by accepting the Rescission Offer, an amount equal to the purchase price paid for such shares upon your acquisition under the ESPP (i.e., the discounted purchase price under the ESPP) plus an amount equal to interest on such purchase price for the period from the date of the acquisition through the Expiration Date (as defined below). However, we will not repurchase such shares if the original purchase price for such shares under the ESPP, plus an amount equal to interest for the period from the date of the acquisition through the Expiration Date, is less than the last reported sale price of our Common Stock (as reported on the New York Stock Exchange (the “NYSE”)) on the Expiration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this prospectus uses the term “interest” when describing the calculation of the Rescission Offer price, the term is only intended to describe the method used to calculate the payment amount, and the payment is not considered interest for U.S. federal income tax purposes. Interest will accrue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Unless extended by us, the Rescission Offer will expire at 5:00 p.m., Eastern Time, on September 8, 2026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Our information agent for the Rescission Offer is Stock &amp; Options Solutions, an Allshares company (“SOS”). If you have any questions regarding the terms of the Rescission Offer, please contact SOS at (615) 994-8665 or via email at CBIZ_RescissionOffer@sos-team.com.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Common Stock is listed on the NYSE and trades under the ticker symbol “CBZ.” On August 4, 2026, the last reported sale price of our Common Stock (as reported on the NYSE) was $55.08 per share. You should obtain trading prices for our Common Stock before deciding whether or not to accept the Rescission Offer. Our principal executive offices are located at 5959 Rockside Woods Blvd. N., Suite 600, Independence, Ohio 44131 and our telephone number is (216) 447-9000. </w:t>
      </w:r>
    </w:p>
    <w:p>
      <w:pPr>
        <w:pStyle w:val="TextBody"/>
        <w:bidi w:val="0"/>
        <w:spacing w:before="240" w:after="0"/>
        <w:jc w:val="left"/>
        <w:rPr>
          <w:rFonts w:ascii="Times New Roman" w:hAnsi="Times New Roman"/>
          <w:sz w:val="20"/>
        </w:rPr>
      </w:pPr>
      <w:r>
        <w:rPr>
          <w:rFonts w:ascii="Times New Roman" w:hAnsi="Times New Roman"/>
          <w:sz w:val="20"/>
        </w:rPr>
        <w:t xml:space="preserve">You may elect to accept the Rescission Offer by logging on to your EquatePlus account at www.equateplus.com and submitting a Rescission Offer Election Form before the Expiration Date in accordance with the instructions set forth in this prospectus and included as Appendix A hereto (the “Rescission Offer Election Procedures”). If you are accepting the Rescission Offer with respect to the Eligible Shares you currently hold within EquatePlus, you do not need to take additional action to deliver such shares after properly submitting a Rescission Offer Election Form. If you are accepting the Rescission Offer with respect to the Eligible Shares you currently hold outside of EquatePlus through a broker or nominee that is not Computershare, you must provide the additional information requested in the Rescission Offer Election Procedures, as well as cause your broker or nominee to deliver such shares to Computershare, our transfer agent, in accordance with the instructions set forth in the Rescission Offer Election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If your EquatePlus account is not W-9 certified before the Expiration Date, additional amounts may be required to be withheld from any payments made to you in connection with the Rescission Offer, and the IRS may impose certain penalties. The current withholding rate is 24%. </w:t>
      </w:r>
    </w:p>
    <w:p>
      <w:pPr>
        <w:pStyle w:val="TextBody"/>
        <w:bidi w:val="0"/>
        <w:spacing w:before="240" w:after="0"/>
        <w:jc w:val="left"/>
        <w:rPr>
          <w:rFonts w:ascii="Times New Roman" w:hAnsi="Times New Roman"/>
          <w:sz w:val="20"/>
        </w:rPr>
      </w:pPr>
      <w:r>
        <w:rPr>
          <w:rFonts w:ascii="Times New Roman" w:hAnsi="Times New Roman"/>
          <w:sz w:val="20"/>
        </w:rPr>
        <w:t xml:space="preserve">You do not need to take any action to reject the Rescission Offer. If you fail to properly submit a Rescission Offer Election Form (together with any other required documents, including any shares that may be required to be delivered) before the Expiration Date, you will be deemed by us to have rejected the Rescission Offer. Acceptance or rejection of the Rescission Offer may prevent you from maintaining any action against us based on a claim that we failed to deliver a prospectus in connection with your acquisition of any Eligible Shares. In any event, any such claim may be barred by applicable statutes of limitations. See “Risk Factors — Your right of rescission under federal and state law, if any, may not survive if you reject or fail to accept the Rescission Offer” on page 17. </w:t>
      </w:r>
    </w:p>
    <w:p>
      <w:pPr>
        <w:pStyle w:val="TextBody"/>
        <w:bidi w:val="0"/>
        <w:spacing w:before="240" w:after="0"/>
        <w:jc w:val="left"/>
        <w:rPr/>
      </w:pPr>
      <w:r>
        <w:rPr>
          <w:rFonts w:ascii="Times New Roman" w:hAnsi="Times New Roman"/>
          <w:b/>
          <w:sz w:val="24"/>
        </w:rPr>
        <w:t>Investing in our Common Stock involves risks. See “</w:t>
      </w:r>
      <w:hyperlink w:anchor="toc33368_5">
        <w:r>
          <w:rPr>
            <w:rStyle w:val="InternetLink"/>
            <w:rFonts w:ascii="Times New Roman" w:hAnsi="Times New Roman"/>
            <w:b/>
            <w:sz w:val="24"/>
          </w:rPr>
          <w:t>Risk Factors</w:t>
        </w:r>
      </w:hyperlink>
      <w:r>
        <w:rPr>
          <w:rFonts w:ascii="Times New Roman" w:hAnsi="Times New Roman"/>
          <w:b/>
          <w:sz w:val="24"/>
        </w:rPr>
        <w:t xml:space="preserve">” beginning on page 17 and the information included and incorporated by reference in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33368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33368_2">
              <w:r>
                <w:rPr>
                  <w:rStyle w:val="InternetLink"/>
                  <w:rFonts w:ascii="Times New Roman" w:hAnsi="Times New Roman"/>
                  <w:sz w:val="20"/>
                </w:rPr>
                <w:t>WHERE YOU CAN FIND MORE INFORMATION; INCORPORATION OF CERTAIN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33368_3">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33368_4">
              <w:r>
                <w:rPr>
                  <w:rStyle w:val="InternetLink"/>
                  <w:rFonts w:ascii="Times New Roman" w:hAnsi="Times New Roman"/>
                  <w:sz w:val="20"/>
                </w:rPr>
                <w:t>QUESTIONS AND ANSWERS ABOUT THE RESCISSION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33368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33368_6">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33368_7">
              <w:r>
                <w:rPr>
                  <w:rStyle w:val="InternetLink"/>
                  <w:rFonts w:ascii="Times New Roman" w:hAnsi="Times New Roman"/>
                  <w:sz w:val="20"/>
                </w:rPr>
                <w:t>THE RESCISSION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33368_8">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33368_9">
              <w:r>
                <w:rPr>
                  <w:rStyle w:val="InternetLink"/>
                  <w:rFonts w:ascii="Times New Roman" w:hAnsi="Times New Roman"/>
                  <w:sz w:val="20"/>
                </w:rPr>
                <w:t>CERTAIN U.S. FEDERAL INCOME TAX CONSEQUENCES RELATING TO THE ESPP AND THE RESCISSION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33368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33368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Appendices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48"/>
        <w:gridCol w:w="258"/>
        <w:gridCol w:w="67"/>
        <w:gridCol w:w="469"/>
        <w:gridCol w:w="63"/>
      </w:tblGrid>
      <w:tr>
        <w:trPr/>
        <w:tc>
          <w:tcPr>
            <w:tcW w:w="9348"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48"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3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48" w:type="dxa"/>
            <w:tcBorders/>
          </w:tcPr>
          <w:p>
            <w:pPr>
              <w:pStyle w:val="TableContents"/>
              <w:bidi w:val="0"/>
              <w:spacing w:before="0" w:after="0"/>
              <w:jc w:val="left"/>
              <w:rPr/>
            </w:pPr>
            <w:hyperlink w:anchor="toc33368_12">
              <w:r>
                <w:rPr>
                  <w:rStyle w:val="InternetLink"/>
                  <w:rFonts w:ascii="Times New Roman" w:hAnsi="Times New Roman"/>
                  <w:sz w:val="20"/>
                </w:rPr>
                <w:t xml:space="preserve">Appendix A-Rescission Offer Election Procedures </w:t>
              </w:r>
            </w:hyperlink>
          </w:p>
        </w:tc>
        <w:tc>
          <w:tcPr>
            <w:tcW w:w="258"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3336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that we filed with the U.S. Securities and Exchange Commission, or the SEC, as a “well-known seasoned issuer” as defined in Rule 405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this prospectus together with the additional information that is incorporated or deemed incorporated by reference in this prospectus as described under “Where You Can Find More Information; Incorporation of Certain Documents by Reference” before making an investment decision. Information incorporated by reference after the date of this prospectus is considered a part of this prospectus and may add, update or change information contained in this prospectus. Any information in such subsequent filings that is inconsistent with this prospectus will supersede the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and any accompanying prospectus supplement, including the information incorporated by reference herein and any free writing prospectus that we prepare and distribute. We have not authorized anyone to provide you with information or to make any representations about anything not contained in this prospectus or the documents incorporated by reference in this prospectus. You must not rely on any unauthorized information or representations.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anyone to provide you with different or additional information from that contained or incorporated by reference into this prospectus. We take no responsibility for, and can provide no assurance as to the reliability of, any other information that others may give you. This prospectus may be used only for the purpose for which it has been prepared. We are making the Rescission Offer only in jurisdictions where offers and sales are permitted. This prospectus does not constitute an offer, or an invitation on our behalf, to subscribe for and purchase any of our securities, and may not be used for or in connection with an offer or solicitation by anyone, in any jurisdiction in which such an offer or solicitation is not authorized or to any person to whom it is unlawful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all references in this prospectus to “we,” “our,” “us,” “CBIZ” and “the Company” refer to CBIZ, Inc., a Delaware corporation,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33368_2"/>
      <w:bookmarkEnd w:id="4"/>
      <w:r>
        <w:rPr>
          <w:rFonts w:ascii="Times New Roman" w:hAnsi="Times New Roman"/>
          <w:b/>
          <w:sz w:val="20"/>
        </w:rPr>
        <w:t xml:space="preserve">WHERE YOU CAN FIND MORE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(http://www.sec.gov) from which interested persons can electronically access our reports, proxy statements and other information regarding us.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into this prospectus certain information that we have filed with the SEC, which means that we are disclosing important information to you by referring you to documents we have filed separately with the SEC. The documents incorporated by reference are considered part of this prospectus. This prospectus incorporates by reference the following (excluding any portions of such documents that have been “furnished” but not “filed” for purposes of the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26, 2026 (as amended by Amendment No. 1 and Amendment No. 2,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Amendment No.  1 on </w:t>
            </w:r>
            <w:hyperlink r:id="rId3">
              <w:r>
                <w:rPr>
                  <w:rStyle w:val="InternetLink"/>
                  <w:rFonts w:ascii="Times New Roman" w:hAnsi="Times New Roman"/>
                  <w:sz w:val="20"/>
                </w:rPr>
                <w:t>Form 10-K/A</w:t>
              </w:r>
            </w:hyperlink>
            <w:r>
              <w:rPr>
                <w:rFonts w:ascii="Times New Roman" w:hAnsi="Times New Roman"/>
                <w:sz w:val="20"/>
              </w:rPr>
              <w:t xml:space="preserve"> to our Annual Report, filed with the SEC on March 2, 2026 (“Amendment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Amendment No.  2 on </w:t>
            </w:r>
            <w:hyperlink r:id="rId4">
              <w:r>
                <w:rPr>
                  <w:rStyle w:val="InternetLink"/>
                  <w:rFonts w:ascii="Times New Roman" w:hAnsi="Times New Roman"/>
                  <w:sz w:val="20"/>
                </w:rPr>
                <w:t>Form 10-K/A</w:t>
              </w:r>
            </w:hyperlink>
            <w:r>
              <w:rPr>
                <w:rFonts w:ascii="Times New Roman" w:hAnsi="Times New Roman"/>
                <w:sz w:val="20"/>
              </w:rPr>
              <w:t xml:space="preserve"> to our Annual Report, filed with the SEC on August 4, 2026 (“Amendment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2026, filed with the SEC on </w:t>
            </w:r>
            <w:hyperlink r:id="rId5">
              <w:r>
                <w:rPr>
                  <w:rStyle w:val="InternetLink"/>
                  <w:rFonts w:ascii="Times New Roman" w:hAnsi="Times New Roman"/>
                  <w:sz w:val="20"/>
                </w:rPr>
                <w:t>April 30, 2026</w:t>
              </w:r>
            </w:hyperlink>
            <w:r>
              <w:rPr>
                <w:rFonts w:ascii="Times New Roman" w:hAnsi="Times New Roman"/>
                <w:sz w:val="20"/>
              </w:rPr>
              <w:t xml:space="preserve">, and June  30, 2026, filed with the SEC on </w:t>
            </w:r>
            <w:hyperlink r:id="rId6">
              <w:r>
                <w:rPr>
                  <w:rStyle w:val="InternetLink"/>
                  <w:rFonts w:ascii="Times New Roman" w:hAnsi="Times New Roman"/>
                  <w:sz w:val="20"/>
                </w:rPr>
                <w:t>August 4, 2026</w:t>
              </w:r>
            </w:hyperlink>
            <w:r>
              <w:rPr>
                <w:rFonts w:ascii="Times New Roman" w:hAnsi="Times New Roman"/>
                <w:sz w:val="20"/>
              </w:rPr>
              <w:t xml:space="preserve"> (our “Quarterly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Proxy Statement on </w:t>
            </w:r>
            <w:hyperlink r:id="rId7">
              <w:r>
                <w:rPr>
                  <w:rStyle w:val="InternetLink"/>
                  <w:rFonts w:ascii="Times New Roman" w:hAnsi="Times New Roman"/>
                  <w:sz w:val="20"/>
                </w:rPr>
                <w:t>Schedule 14A</w:t>
              </w:r>
            </w:hyperlink>
            <w:r>
              <w:rPr>
                <w:rFonts w:ascii="Times New Roman" w:hAnsi="Times New Roman"/>
                <w:sz w:val="20"/>
              </w:rPr>
              <w:t xml:space="preserve">, filed with the SEC on April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8">
              <w:r>
                <w:rPr>
                  <w:rStyle w:val="InternetLink"/>
                  <w:rFonts w:ascii="Times New Roman" w:hAnsi="Times New Roman"/>
                  <w:sz w:val="20"/>
                </w:rPr>
                <w:t>January 14, 2026</w:t>
              </w:r>
            </w:hyperlink>
            <w:r>
              <w:rPr>
                <w:rFonts w:ascii="Times New Roman" w:hAnsi="Times New Roman"/>
                <w:sz w:val="20"/>
              </w:rPr>
              <w:t xml:space="preserve">, </w:t>
            </w:r>
            <w:hyperlink r:id="rId9">
              <w:r>
                <w:rPr>
                  <w:rStyle w:val="InternetLink"/>
                  <w:rFonts w:ascii="Times New Roman" w:hAnsi="Times New Roman"/>
                  <w:sz w:val="20"/>
                </w:rPr>
                <w:t>February  17, 2026</w:t>
              </w:r>
            </w:hyperlink>
            <w:r>
              <w:rPr>
                <w:rFonts w:ascii="Times New Roman" w:hAnsi="Times New Roman"/>
                <w:sz w:val="20"/>
              </w:rPr>
              <w:t xml:space="preserve">, </w:t>
            </w:r>
            <w:hyperlink r:id="rId10">
              <w:r>
                <w:rPr>
                  <w:rStyle w:val="InternetLink"/>
                  <w:rFonts w:ascii="Times New Roman" w:hAnsi="Times New Roman"/>
                  <w:sz w:val="20"/>
                </w:rPr>
                <w:t>May 15, 2026</w:t>
              </w:r>
            </w:hyperlink>
            <w:r>
              <w:rPr>
                <w:rFonts w:ascii="Times New Roman" w:hAnsi="Times New Roman"/>
                <w:sz w:val="20"/>
              </w:rPr>
              <w:t xml:space="preserve"> and July 29,  2026 (only with respect to the </w:t>
            </w:r>
            <w:hyperlink r:id="rId11">
              <w:r>
                <w:rPr>
                  <w:rStyle w:val="InternetLink"/>
                  <w:rFonts w:ascii="Times New Roman" w:hAnsi="Times New Roman"/>
                  <w:sz w:val="20"/>
                </w:rPr>
                <w:t>first</w:t>
              </w:r>
            </w:hyperlink>
            <w:r>
              <w:rPr>
                <w:rFonts w:ascii="Times New Roman" w:hAnsi="Times New Roman"/>
                <w:sz w:val="20"/>
              </w:rPr>
              <w:t xml:space="preserve"> and </w:t>
            </w:r>
            <w:hyperlink r:id="rId12">
              <w:r>
                <w:rPr>
                  <w:rStyle w:val="InternetLink"/>
                  <w:rFonts w:ascii="Times New Roman" w:hAnsi="Times New Roman"/>
                  <w:sz w:val="20"/>
                </w:rPr>
                <w:t>second reports</w:t>
              </w:r>
            </w:hyperlink>
            <w:r>
              <w:rPr>
                <w:rFonts w:ascii="Times New Roman" w:hAnsi="Times New Roman"/>
                <w:sz w:val="20"/>
              </w:rPr>
              <w:t xml:space="preserve"> filed on such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securities contained in </w:t>
            </w:r>
            <w:hyperlink r:id="rId13">
              <w:r>
                <w:rPr>
                  <w:rStyle w:val="InternetLink"/>
                  <w:rFonts w:ascii="Times New Roman" w:hAnsi="Times New Roman"/>
                  <w:sz w:val="20"/>
                </w:rPr>
                <w:t>Exhibit 4.2</w:t>
              </w:r>
            </w:hyperlink>
            <w:r>
              <w:rPr>
                <w:rFonts w:ascii="Times New Roman" w:hAnsi="Times New Roman"/>
                <w:sz w:val="20"/>
              </w:rPr>
              <w:t xml:space="preserve"> to our Annual Report,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any filings made by us with the SEC in accordance with Sections 13(a), 13(c), 14 or 15(d) of the Exchange Act on or after the date of this prospectus and before the date all of the securities offered hereby are sold or the offering is otherwise terminated, with the exception of any information furnished under Item 2.02 or Item 7.01 (including any financial statements or exhibits relating thereto furnished pursuant to Item 9.01) of Form 8-K, which is not deemed filed and which is not incorporated by reference herein. Any such filings shall be deemed to be incorporated by reference and to be a part of this prospectus from the respective dates of filing of those documents. Any statement contained in a document or report incorporated or deemed to be incorporated by reference herein shall be deemed to be modified or superseded for purposes of this prospectus to the extent that a statement contained herein or in any subsequently filed document or report that also is or is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can obtain any of the filings incorporated by reference into this prospectus through us or from the SEC through the SEC’s website at http://www.sec.gov. We will provide, without charge, to each person, including any beneficial owner, to whom a copy of this prospectus is delivered, upon written or oral request of such person,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copy of any or all of the reports and documents referred to above which have been or may be incorporated by reference into this prospectus. You should direct requests for those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CBIZ, Inc. </w:t>
      </w:r>
    </w:p>
    <w:p>
      <w:pPr>
        <w:pStyle w:val="TextBody"/>
        <w:bidi w:val="0"/>
        <w:spacing w:before="0" w:after="0"/>
        <w:jc w:val="center"/>
        <w:rPr>
          <w:rFonts w:ascii="Times New Roman" w:hAnsi="Times New Roman"/>
          <w:sz w:val="20"/>
        </w:rPr>
      </w:pPr>
      <w:r>
        <w:rPr>
          <w:rFonts w:ascii="Times New Roman" w:hAnsi="Times New Roman"/>
          <w:sz w:val="20"/>
        </w:rPr>
        <w:t xml:space="preserve">5959 Rockside Woods Blvd. N., Suite 600 </w:t>
      </w:r>
    </w:p>
    <w:p>
      <w:pPr>
        <w:pStyle w:val="TextBody"/>
        <w:bidi w:val="0"/>
        <w:spacing w:before="0" w:after="0"/>
        <w:jc w:val="center"/>
        <w:rPr>
          <w:rFonts w:ascii="Times New Roman" w:hAnsi="Times New Roman"/>
          <w:sz w:val="20"/>
        </w:rPr>
      </w:pPr>
      <w:r>
        <w:rPr>
          <w:rFonts w:ascii="Times New Roman" w:hAnsi="Times New Roman"/>
          <w:sz w:val="20"/>
        </w:rPr>
        <w:t xml:space="preserve">Independence, OH 44131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Department </w:t>
      </w:r>
    </w:p>
    <w:p>
      <w:pPr>
        <w:pStyle w:val="TextBody"/>
        <w:bidi w:val="0"/>
        <w:spacing w:before="0" w:after="0"/>
        <w:jc w:val="center"/>
        <w:rPr>
          <w:rFonts w:ascii="Times New Roman" w:hAnsi="Times New Roman"/>
          <w:sz w:val="20"/>
        </w:rPr>
      </w:pPr>
      <w:r>
        <w:rPr>
          <w:rFonts w:ascii="Times New Roman" w:hAnsi="Times New Roman"/>
          <w:sz w:val="20"/>
        </w:rPr>
        <w:t xml:space="preserve">Telephone: (216) 447-9000 </w:t>
      </w:r>
    </w:p>
    <w:p>
      <w:pPr>
        <w:pStyle w:val="TextBody"/>
        <w:bidi w:val="0"/>
        <w:spacing w:before="240" w:after="0"/>
        <w:jc w:val="left"/>
        <w:rPr>
          <w:rFonts w:ascii="Times New Roman" w:hAnsi="Times New Roman"/>
          <w:sz w:val="20"/>
        </w:rPr>
      </w:pPr>
      <w:r>
        <w:rPr>
          <w:rFonts w:ascii="Times New Roman" w:hAnsi="Times New Roman"/>
          <w:sz w:val="20"/>
        </w:rPr>
        <w:t xml:space="preserve">We maintain an internet site at https://www.cbiz.com. Our SEC filings are also available free of charge on our website. Our website and the information contained on or connected to it shall not be deemed to be incorporated into this prospectus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33368_3"/>
      <w:bookmarkEnd w:id="5"/>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in this prospectus, or in our other documents that are incorporated by reference herein, contain “forward-looking statements” within the meaning of Section 27A of the Securities Act and Section 21E of the Exchange Act. All statements other than statements of historical fact included in this prospectus or in the documents that are incorporated by reference in this prospectus, including statements regarding the transactions contemplated by the Agreement and Plan of Merger, dated as of July 28, 2026, by and among CBIZ, Viking ParentCo, Inc. (“Parent”) and Viking MergerCo, Inc., a direct wholly owned subsidiary of Parent (“Merger Sub”), pursuant to which, upon the terms and subject to the conditions set forth therein, Merger Sub will merge with and into CBIZ, with CBIZ surviving the merger as a direct wholly owned subsidiary of Parent (the “Merger”), are forward-looking statements. You can identify these statements by the fact that they do not relate strictly to historical or current facts. Forward-looking statements are commonly identified by the use of such terms and phrases as “will,” “could,” “can,” “may,” “strive,” “hope,” “intend,” “believe,” “estimate,” “continue,” “plan,” “expect,” “project,” “anticipate,” “outlook,” “foreseeable future,” “seek” and words or phrases of similar import.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also provide oral or written forward-looking statements in other materials we release to the public. All of our forward-looking statements in this prospectus, the documents that are incorporated by reference in this prospectus and in any other public statements that we make are subject to certain risks and uncertainties that could cause actual results to differ materially from those projected.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one or more closing conditions to the proposed Merger, including certain regulatory approvals, may not be satisfied or waived, on a timely basis or otherwise, or that the required approval by the shareholders of CBIZ may not be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proposed Merger may not be completed on the terms or in the time frame expected by CBIZ and Parent,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costs, charges or expenses resulting from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of the expected financial performance and results of operations of the combined company following completion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anticipated benefits of the proposed Merger, including as a result of delay in completing the proposed Merger or integrating the businesses of CBIZ and Parent, on the expected timeframe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implement its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and delays in the combined company achieving revenue and cost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of the combined company to retain and hire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that could give rise to termination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shareholder litigation in connection with the proposed Merger or other litigation, settlements or investigations may affect the timing or completion of the proposed Merger or result in significant costs of defense, indemnification and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legal, regulatory and tax regimes;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competitive, technological and/or industry-specific conditions affecting the businesses and industries in which CBIZ and Parent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third parties, including government agencies and rating agencies, relating to the proposed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any debt financing anticipated in connection with the proposed Merger is not obtained or that such financing cannot be obtained on the anticipated timing or terms or unexpected costs or expenses in connection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disruption of management time from ongoing business operations due to the pendency of the proposed Merger, or other effects of the pendency of the proposed Merger on the relationship of any of the parties to the transaction with their employees, customers, partners, or other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any announcements relating to the proposed Merger could have adverse effects on the market price of our Common Stock, credit rating, or operating results, and may have an adverse effect on the ability of CBIZ to retain and hire key personnel, retain customers, and maintain relationships with business partners, suppliers and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market price of our Common Stock may decline if the proposed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 over financial reporting and disclosure controls and procedures, including ability to remediate our material weaknesses in our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on accounts receivable may be slower than expected, or amounts due on receivables or notes may not be fully collectible;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could be adversely affected if the non-attest business assets, or the attest assets CBIZ CPAs acquired, we acquired from Marcum LLP (“Marcum”) do not perform to our expectations or we underestimate the liabilities we have assumed;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on the services of our executive officers, and other key employees, the loss of any of whom may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profitability could suffer if we are not able to effectively utilize our employees, maintain operational efficiencies or manage our cost 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goodwill and other intangible assets could become impaired, which could lead to material non-cash charges against earnings and a material impact on our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liabilities resulting from acquisitions are estimated and could lead to a material impact on our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realize the anticipated benefits of acquisitions, or they may prove disruptive and could result in the combined business failing to meet our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claims or adverse publicity could harm our brand, reputation and ability to compete and attract and retain clients, talent and future acquisition targets;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acquire and finance additional businesses, which could limit our ability to pursue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incur transaction, integration, and restructuring costs in connection with our acquisition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regulations and interpretations are subject to changes, which could have a material adverse effect on our financial condition;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in the current economic and geopolitical environment could lead to declines in demand for certain of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United States healthcare environment, including new healthcare legislation, may adversely affect the revenue and margins in our healthcare benefit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relating to processing customer transactions for our payroll and other transaction processing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cyberattacks or other security breaches involving our computer systems or the systems of one or more of our vendors could materially and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 as it relates to software that we license from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reliant on information processing systems and any failure or disruptions of these systems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could be held liable for errors and omissions;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services industry is competitive and fragmented, if we are unable to compete effectively, our business, financial condition and results of operations could be negatively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maintain our reputation and brand could impact our ability to attract and retain clients, employees and future acquisition targets, and may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on our existing client base and our ability to retain and expand our relationships with those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clients may terminate our engagements with little or no notice and without penalty, which may result in unexpected declines in our revenue or unexpected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given our levels of share-based compensation, our tax rate may vary significantly depending on our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the actions of activist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rapid technological changes could significantly impact our competitive position, client relationships and operating results and our ability to realize the anticipated benefits of our acquisition of the non-attest business assets and liabilities of Marcum and CBIZ CPAs P.C.’s purchase of substantially all of Marcum’s attest business assets (the “Marcum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widespread outbreak of a communicable illness or any other public health crisis could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require a significant amount of cash for interest payments on our debt and to expand our business as planned;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of our amended and restated credit agreement providing for $2.0 billion in senior secured credit facilities, consisting of a $1.4 billion term loan and $600 million revolving credit facility, could adversely affect our ability to run our business and/or reduce stockholder returns;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satisfy covenants in our debt instruments could cause a default under those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increased leverage following the Marcum Transaction may adversely impact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more sensitive to revenue fluctuations than other companies, which could result in fluctuations in the market price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significant number of shares issuable as the stock consideration in the Marcum Transaction may adversely impact our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future issuance of additional shares could adversely affect the price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volatility in our stock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forward-looking statements can be affected by inaccurate assumptions we might make or by known or unknown risks and uncertainties. Many factors mentioned in “Item 1A. Risk Factors” in our Annual Report and in our subsequent Quarterly Reports will be important in determining future results. Other factors besides those described in our Annual Report or Quarterly Reports could also adversely affect our operating or financial performance. Should one or more of these risks or assumptions materialize, or should the underlying assumptions prove incorrect, actual results may vary materially from those anticipated, estimated, projected or implied. </w:t>
      </w:r>
    </w:p>
    <w:p>
      <w:pPr>
        <w:pStyle w:val="TextBody"/>
        <w:bidi w:val="0"/>
        <w:spacing w:before="240" w:after="0"/>
        <w:jc w:val="left"/>
        <w:rPr>
          <w:rFonts w:ascii="Times New Roman" w:hAnsi="Times New Roman"/>
          <w:sz w:val="20"/>
        </w:rPr>
      </w:pPr>
      <w:r>
        <w:rPr>
          <w:rFonts w:ascii="Times New Roman" w:hAnsi="Times New Roman"/>
          <w:sz w:val="20"/>
        </w:rPr>
        <w:t xml:space="preserve">Consequently, no forward-looking statement can be guaranteed. Our actual future results may vary materially,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33368_4"/>
      <w:bookmarkEnd w:id="6"/>
      <w:r>
        <w:rPr>
          <w:rFonts w:ascii="Times New Roman" w:hAnsi="Times New Roman"/>
          <w:b/>
          <w:sz w:val="20"/>
        </w:rPr>
        <w:t xml:space="preserve">QUESTIONS AND ANSWERS ABOUT THE RESCISSION OFFER </w:t>
      </w:r>
    </w:p>
    <w:p>
      <w:pPr>
        <w:pStyle w:val="TextBody"/>
        <w:bidi w:val="0"/>
        <w:spacing w:before="240" w:after="0"/>
        <w:jc w:val="left"/>
        <w:rPr>
          <w:rFonts w:ascii="Times New Roman" w:hAnsi="Times New Roman"/>
          <w:sz w:val="20"/>
        </w:rPr>
      </w:pPr>
      <w:r>
        <w:rPr>
          <w:rFonts w:ascii="Times New Roman" w:hAnsi="Times New Roman"/>
          <w:i/>
          <w:sz w:val="20"/>
        </w:rPr>
        <w:t>Th</w:t>
      </w:r>
      <w:r>
        <w:rPr>
          <w:rFonts w:ascii="Times New Roman" w:hAnsi="Times New Roman"/>
          <w:sz w:val="20"/>
        </w:rPr>
        <w:t xml:space="preserve">e </w:t>
      </w:r>
      <w:r>
        <w:rPr>
          <w:rFonts w:ascii="Times New Roman" w:hAnsi="Times New Roman"/>
          <w:i/>
          <w:sz w:val="20"/>
        </w:rPr>
        <w:t>following questions and answers are intended to briefly address some commonly asked questions regarding the Rescission Offer. These questions and answers do not address all questions that may be important to you as a participant in the ESPP who acquired shares of Common Stock between October</w:t>
      </w:r>
      <w:r>
        <w:rPr>
          <w:rFonts w:ascii="Times New Roman" w:hAnsi="Times New Roman"/>
          <w:sz w:val="20"/>
        </w:rPr>
        <w:t> </w:t>
      </w:r>
      <w:r>
        <w:rPr>
          <w:rFonts w:ascii="Times New Roman" w:hAnsi="Times New Roman"/>
          <w:i/>
          <w:sz w:val="20"/>
        </w:rPr>
        <w:t>16, 2023 and April</w:t>
      </w:r>
      <w:r>
        <w:rPr>
          <w:rFonts w:ascii="Times New Roman" w:hAnsi="Times New Roman"/>
          <w:sz w:val="20"/>
        </w:rPr>
        <w:t> </w:t>
      </w:r>
      <w:r>
        <w:rPr>
          <w:rFonts w:ascii="Times New Roman" w:hAnsi="Times New Roman"/>
          <w:i/>
          <w:sz w:val="20"/>
        </w:rPr>
        <w:t>15, 2026. Please refer to the section under the heading “The Rescission Offer” below and the more detailed information contained elsewhere in this prospectus, which you should read carefully, and the information we have included or incorporated by reference in this prospectus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you making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offering to repurchase up to 481,049 shares of our Common Stock from persons who acquired those shares under the ESPP between October 16, 2023 and April 15, 2026, as we determined during the second quarter of 2026 that such shares of Common Stock may have been acquired under the ESPP without registration pursuant to the Securities Act. Although the shares of Common Stock acquired under the ESPP were purchased in the open market by Computershare, the custodian of the ESPP, the SEC takes the position that we are required to register the sale of these shares under the ESPP with the SEC.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making the Rescission Offer to ensure compliance with the Securities Act, and to limit any contingent liability we may have as a result of possible noncompliance with registration requirements pursuant to the Securities Act in connection with the acquisition of shares of Common Stock under the ESPP by ESPP participants. </w:t>
      </w:r>
    </w:p>
    <w:p>
      <w:pPr>
        <w:pStyle w:val="TextBody"/>
        <w:bidi w:val="0"/>
        <w:spacing w:before="120" w:after="0"/>
        <w:jc w:val="left"/>
        <w:rPr>
          <w:rFonts w:ascii="Times New Roman" w:hAnsi="Times New Roman"/>
          <w:sz w:val="20"/>
        </w:rPr>
      </w:pPr>
      <w:r>
        <w:rPr>
          <w:rFonts w:ascii="Times New Roman" w:hAnsi="Times New Roman"/>
          <w:sz w:val="20"/>
        </w:rPr>
        <w:t xml:space="preserve">Members of our Board of Directors are not eligible for the ESPP. Our current executive officers have informed us that they do not intend to participate in the Rescission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know if I’m eligible to participate in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purchased shares under the ESPP between October 16, 2023 and April 15, 2026, then you may submit a Rescission Offer Election Form with respect to such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However, you should note that, under the terms of the Rescission Offer, we will not repurchase or make payments relating to any Eligible Shares unless you submit a Rescission Offer Election Form indicating that (i) you sold Eligible Shares for less than your original purchase price for such shares under the ESPP, and/or (ii) you hold Eligible Shares for which the original purchase price under the ESPP during the Purchase Period, plus an amount equal to interest for the period from the date of the acquisition through the Expiration Date, is less than the last reported sale price of our Common Stock (as reported on the NYSE) on the Expiration Date. If your Eligible Shares are currently held outside of EquatePlus or were sold outside of EquatePlus for a loss, you will also be required to provide reasonably satisfactory proof of share ownership, sale and/or of loss. See “The Rescission Offer – Terms of the Rescission Offer” for more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does the Rescission Offer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Rescission Offer expires at 5:00 p.m., Eastern Time, on September 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does the proposed Merger mean for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Rescission Offer is not conditioned on the approval of or related to the proposed Merger, and the proposed Merger is not conditioned on or subject to the Rescission Offer. The Rescission Offer will expire and settle prior to the closing of the proposed Merger, which is subject to the satisfaction of customary closing conditions, including approval by CBIZ shareholders, receipt of required regulatory approvals, the expiration or termination of applicable waiting periods, and the satisfaction of other customary conditions, any of which could delay or prohibit the closing of the proposed Merger. You should therefore carefully consider with your independent advisors on whether to participate in the Rescission Offer in light of the proposed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I do not participate in the Rescission Offer, will my shares be included in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Rescission Offer is not conditioned on the approval of or related to the proposed Merger, and the proposed Merger is not conditioned on or subject to the Rescission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Rescission Offer will expire and settle prior to the closing of the proposed Merger, which is subject to the satisfaction of customary closing conditions, including approval by CBIZ shareholders, receipt of required regulatory approvals, the expiration or termination of applicable waiting periods, and the satisfaction of other customary conditions, any of which could delay or prohibit the closing of the 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Individuals who are eligible for the Rescission Offer should review both the transaction materials for the proposed Merger and the information included in and incorporated by reference into this prospectus as well as the Rescission Offer Election Procedures. You should carefully consider with your independent advisors whether to participate in the Rescission Offer in light of the proposed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I receive if I accept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answer to this question depends on whether or not you still hold any or all of the Eligible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Eligible Shares you have previously sold at a loss, an amount equal to the excess of the purchase price paid for such shares upon your acquisition under the ESPP (i.e., the discounted purchase price under the ESPP) over the proceeds from the sale of such shares, plus an amount equal to interest (i) on the amount you paid for such shares (i.e., the discounted purchase price under the ESPP) for the period from the date of acquisition through the date of sale and (ii) on the loss from the sale of such shares for the period from (but excluding) the date of sale through the Expiration Date. Interest will accrue on a monthly basis.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an example, if you purchased 100 shares of Common Stock at a per share price of $70.39 on January 1, 2025, you subsequently sold those shares on June 30, 2025 for $58.53 per share, and you accept the Rescission Offer, you would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 purchase price (100 × $70.39) = $7,039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Minus proceeds of the June 30, 2025 sale (100 × $58.53) = $5,853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interest for six months calculated at 5.44% per year on $7,039($7,039 × 5.44% × (6/12)) = $191.46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interest for 14 months at 5.44% per year on $1,186 loss from the June 30, 2025 sale ($1,186 × 5.44% × (14/12)) = $75.27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total of $1,452.73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Eligible Shares you currently hold, upon your delivery of any such shares to us by accepting the Rescission Offer, an amount equal to the purchase price paid for such shares upon your acquisition under the ESPP (i.e., the discounted purchase price under the ESPP) plus an amount equal to interest on such purchase price for the period from the date of the acquisition through the Expiration Date. Interest will accrue on a monthly basis.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an example, if you purchased 100 shares of Common Stock at a per share price of $70.39 on January 1, 2025, you continue to hold such shares and you accept the Rescission Offer, you would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 purchase price (100 × $70.39) = $7,039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interest for 20 months at 5.44% per year ($7,039 × 5.44% × (20/12)) = $638.20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total of $7,677.20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your EquatePlus account is not W-9 certified before the Expiration Date, additional amounts may be required to be withheld from any payments made to you in connection with the Rescission Offer, and the IRS may impose certain penalties. The current withholding rate is 24%. </w:t>
      </w:r>
    </w:p>
    <w:p>
      <w:pPr>
        <w:pStyle w:val="TextBody"/>
        <w:bidi w:val="0"/>
        <w:spacing w:before="120" w:after="0"/>
        <w:jc w:val="left"/>
        <w:rPr>
          <w:rFonts w:ascii="Times New Roman" w:hAnsi="Times New Roman"/>
          <w:sz w:val="20"/>
        </w:rPr>
      </w:pPr>
      <w:r>
        <w:rPr>
          <w:rFonts w:ascii="Times New Roman" w:hAnsi="Times New Roman"/>
          <w:sz w:val="20"/>
        </w:rPr>
        <w:t xml:space="preserve">However, we will not repurchase such shares if the original purchase price for such shares under the ESPP during the Purchase Period, plus an amount equal to interest for the period from the date of the acquisition through the Expiration Date, is less than the last reported sale price of our Common Stock (as reported on the NYSE) on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Although we use the term “interest” when describing the calculation of the Rescission Offer price above, the term is only intended to describe the method used to calculate the payment amount, and the payment is not considered interest for U.S. federal income tax purposes. </w:t>
      </w:r>
    </w:p>
    <w:p>
      <w:pPr>
        <w:pStyle w:val="TextBody"/>
        <w:bidi w:val="0"/>
        <w:spacing w:before="120" w:after="0"/>
        <w:jc w:val="left"/>
        <w:rPr>
          <w:rFonts w:ascii="Times New Roman" w:hAnsi="Times New Roman"/>
          <w:sz w:val="20"/>
        </w:rPr>
      </w:pPr>
      <w:r>
        <w:rPr>
          <w:rFonts w:ascii="Times New Roman" w:hAnsi="Times New Roman"/>
          <w:b/>
          <w:sz w:val="20"/>
        </w:rPr>
        <w:t>Before making your election, make sure all of your information in EquatePlus is current and accurate</w:t>
      </w:r>
      <w:r>
        <w:rPr>
          <w:rFonts w:ascii="Times New Roman" w:hAnsi="Times New Roman"/>
          <w:sz w:val="20"/>
        </w:rPr>
        <w:t xml:space="preserve"> (including but not limited to your W-9 tax certification, mailing address, bank information and payment details, telephone number, and email address). </w:t>
      </w:r>
      <w:r>
        <w:rPr>
          <w:rFonts w:ascii="Times New Roman" w:hAnsi="Times New Roman"/>
          <w:i/>
          <w:sz w:val="20"/>
        </w:rPr>
        <w:t>You can view your information in EquatePlus by logging on to your EquatePlus account at www.equateplus.com and clicking the down arrow next to your name, on the “Overview” page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Proceeds, less required tax withholding (if applicable), will be paid by CBIZ.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interest rate will be used in calculating any amounts owed to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use an annual interest rate of 5.44%, which is calculated on the basis of the highest weekly average one-year constant maturity Treasury yield in effect at any time during the Purchase Period, as published by the Board of Governors of the Federal Reserve System. Interest will accrue on a monthly basis.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Although we use the term “interest” when describing the calculation of the Rescission Offer price above, the term is only intended to describe the method used to calculate the payment amount, and the payment is not considered interest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required to accept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you are not required to accept the Rescission Offer. Your decision to accept or reject the Rescission Offer is completely voluntary and should be based on your assessment as to whether or not doing so would be economically beneficial to you. If you are an employee of CBIZ, acceptance or rejection of the Rescission Offer will not have any bearing or effect on your employment status or your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Should I accept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make your own decision regarding whether to accept the Rescission Offer. In general, it may be economically beneficial to you to accept the Rescission Offer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sold any Eligible Shares for less than your original purchase price for them under the ESPP; </w:t>
            </w:r>
            <w:r>
              <w:rPr>
                <w:rFonts w:ascii="Times New Roman" w:hAnsi="Times New Roman"/>
                <w:sz w:val="20"/>
                <w:u w:val="single"/>
              </w:rPr>
              <w:t>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own any Eligible Shares that on the Expiration Date will be worth less than the Rescission Offer price for such shares (i.e., the original purchase price for the shares under the ESPP, plus an amount equal to the applicable interest as of the Expiration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However, in deciding whether or not to accept the Rescission Offer, you should consider all relevant factors in light of your particular circumstances, including the potential tax consequences of accepting the Rescission Offer (see “Certain U.S. Federal Income Tax Consequences Relating to the ESPP and the Rescission Offer”) and, if you own any Eligible Shares, the possibility that the value of such shares may increase or decrease after the Expiration Date. See “Risk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you should note that, under the terms of the Rescission Offer, we will not repurchase or make payments relating to any shares of Common Stock unless you submit a Rescission Offer Election Form indicating that (i) you sold Eligible Shares for less than your original purchase price for such shares under the ESPP, and/or (ii) you hold Eligible Shares for which the original purchase price under the ESPP during the Purchase Period, plus an amount equal to interest for the period from the date of the acquisition through the Expiration Date, is less than the last reported sale price of our Common Stock (as reported on the NYSE) on the Expiration Date. Interest will accrue on a monthly basis. If your Eligible Shares are currently held outside of EquatePlus or were sold outside of EquatePlus for a loss, you will also be required to provide reasonably satisfactory proof of share ownership, sale and/or of loss. See “What is considered proof of a bona fide transaction? What is considered proof of share ownership?” below. </w:t>
      </w:r>
    </w:p>
    <w:p>
      <w:pPr>
        <w:pStyle w:val="TextBody"/>
        <w:bidi w:val="0"/>
        <w:spacing w:before="120" w:after="0"/>
        <w:jc w:val="left"/>
        <w:rPr>
          <w:rFonts w:ascii="Times New Roman" w:hAnsi="Times New Roman"/>
          <w:sz w:val="20"/>
        </w:rPr>
      </w:pPr>
      <w:r>
        <w:rPr>
          <w:rFonts w:ascii="Times New Roman" w:hAnsi="Times New Roman"/>
          <w:sz w:val="20"/>
        </w:rPr>
        <w:t xml:space="preserve">The Rescission Offer price is explained in more detail in the answer to the question above, “What will I receive if I accept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URGE YOU TO REVIEW THIS PROSPECTUS AND THE DOCUMENTS INCORPORATED BY REFERENCE HEREIN CAREFULLY BEFORE DECIDING WHETHER OR NOT TO ACCEPT THE RESCISSION OFFER. </w:t>
      </w:r>
      <w:r>
        <w:rPr>
          <w:rFonts w:ascii="Times New Roman" w:hAnsi="Times New Roman"/>
          <w:b/>
          <w:sz w:val="20"/>
        </w:rPr>
        <w:t>YOU SHOULD ALSO CONSULT WITH YOUR TAX ADVISORS REGARDING THE TAX CONSEQUENCES (INCLUDING THE APPLICATION AND EFFECT OF ANY STATE, LOCAL, NON-U.S. INCOME AND OTHER TAX LAWS) OF ACCEPTING THE RESCISSION OFFER.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regarding the terms of the Rescission Offer, please contact SOS at (615) 994-8665 or via email at CBIZ_RescissionOffer@sos-team.com.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obtain acquisition and sales history about my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should review your ESPP acquisition and sales history to determine whether you should accept all or a part of this Rescission Offer. You can log on to your EquatePlus account at www.equateplus.com or you can call Computershare at 1-866-697-3122 (toll free) or1-617-231-2972 (international) for assistance regarding your ESPP acquisition, current holdings and sales history.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have previously transferred your Eligible Shares to another broker, contact your broker for assistance. If you transferred your Eligible Shares to another broker and subsequently sold such shares at a loss, you will need to contact the broker that facilitated that sale for your transaction history and sale price information. Please allow sufficient time to receive your transaction history. Some brokers may take up to two weeks to deliver your transaction history, so we encourage you to contact your broker as soon as possible.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effect of the Rescission Offer on my ability to assert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remaining to the recipients of a rescission offer are not clearly delineated under the federal or certain state securities laws. While it is possible that the federal securities laws could be interpreted as providing that your right of rescission survives a rescission offer, it is also possible that a person who rejects a rescission offer may be precluded from later seeking relief under those laws. For a more detailed description of the effect of the Rescission Offer on any applicable federal securities law claims, see “Risk Factors — The Rescission Offer may not bar claims relating to our possible non-compliance with securities laws, and we may continue to be contingently liable for rescission or damages in an indeterminate amount” and “Risk Factors — Your right of rescission under federal and state law, if any, may not survive if you reject or fail to accept the Rescission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sold some of my Eligible Shares but still own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accept the Rescission Offer for each lot of Eligible Shares that you still own as well as the Eligible Shares that you sold at a loss. Your EquatePlus account will show you which Eligible Shares you (a) own and hold in your EquatePlus account, (b) sold through your EquatePlus account and (c) transferred to your individual brokerage account, and you may elect to accept the Rescission Offer for each lot of Eligible Shares in each of these categories.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accept the Rescission Offer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 may accept the Rescission Offer for each lot of Eligible Shares that you still own as well as the Eligible Shares that you sold at a loss, as shown on your EquatePlus account. As described above, however, if you accept the Rescission Offer, we will repurchase the Eligible Shares you still own only if the last reported sale price of our Common Stock (as reported on the NYSE) on the Expiration Date is less than the original purchase price for such shares under the ESPP plus an amount equal to interest through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accept the Rescission Offer for shares of Common Stock acquired during the Purchase Period that I currently own, but the amount I would receive for such shares is less than the last reported sale price of our Common Stock (as reported on the NYSE) on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submit a Rescission Offer Election Form for any Eligible Shares you currently own, we will not repurchase shares for which the original purchase price under the ESPP, plus an amount equal to interest (through the Expiration Date), is less than the last reported sale price of our Common Stock (as reported on the NYSE) on the Expiration Date, as it would not be economically beneficial to you. Accordingly, you will continue to own those shares, and except as set forth in this prospectus, the Rescission Offer will not affect your ability to sell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to accept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want to accept the Rescission Offer, you may elect to accept the Rescission Offer by logging on to your EquatePlus account at www.equateplus.com and submitting a Rescission Offer Election Form before the Expiration Date in accordance with the instructions set forth in this prospectus and included as Appendix A hereto (the “Rescission Offer Election Procedures”). See “— Other Required Documents” below in this question.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You should retain copies of all of your submitted Rescission Offer Election Forms including all modifications and withdrawals for your personal records. </w:t>
      </w:r>
    </w:p>
    <w:p>
      <w:pPr>
        <w:pStyle w:val="TextBody"/>
        <w:bidi w:val="0"/>
        <w:spacing w:before="120" w:after="0"/>
        <w:jc w:val="left"/>
        <w:rPr>
          <w:rFonts w:ascii="Times New Roman" w:hAnsi="Times New Roman"/>
          <w:sz w:val="20"/>
        </w:rPr>
      </w:pPr>
      <w:r>
        <w:rPr>
          <w:rFonts w:ascii="Times New Roman" w:hAnsi="Times New Roman"/>
          <w:sz w:val="20"/>
          <w:u w:val="single"/>
        </w:rPr>
        <w:t>Other Required Documents: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accepting the Rescission Offer </w:t>
            </w:r>
            <w:r>
              <w:rPr>
                <w:rFonts w:ascii="Times New Roman" w:hAnsi="Times New Roman"/>
                <w:sz w:val="20"/>
                <w:u w:val="single"/>
              </w:rPr>
              <w:t>only</w:t>
            </w:r>
            <w:r>
              <w:rPr>
                <w:rFonts w:ascii="Times New Roman" w:hAnsi="Times New Roman"/>
                <w:sz w:val="20"/>
              </w:rPr>
              <w:t xml:space="preserve"> with regard to any Eligible Shares currently held within EquatePlus and/or any Eligible Shares sold at a loss within EquatePlus, you will not need to submit any additional documentation (apart from the Rescission Offer Election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accepting the Rescission Offer with respect to any Eligible Shares that were transferred from EquatePlus to your individual brokerage account </w:t>
            </w:r>
            <w:r>
              <w:rPr>
                <w:rFonts w:ascii="Times New Roman" w:hAnsi="Times New Roman"/>
                <w:sz w:val="20"/>
                <w:u w:val="single"/>
              </w:rPr>
              <w:t>and which you currently hold</w:t>
            </w:r>
            <w:r>
              <w:rPr>
                <w:rFonts w:ascii="Times New Roman" w:hAnsi="Times New Roman"/>
                <w:sz w:val="20"/>
              </w:rPr>
              <w:t xml:space="preserve">, in addition to properly submitting a Rescission Offer Election Form, you must also submit, in accordance with the instructions set forth in the Rescission Offer Election Procedures, reasonably satisfactory proof of share ownership prior to the commencement of the Rescission Offer. See “— What do I need to do to accept the Rescission Offer if I hold Shares through a broker or nominee that is not Computershare?”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want to accept the Rescission Offer with respect to any Eligible Shares that were transferred from EquatePlus to your individual brokerage account </w:t>
            </w:r>
            <w:r>
              <w:rPr>
                <w:rFonts w:ascii="Times New Roman" w:hAnsi="Times New Roman"/>
                <w:sz w:val="20"/>
                <w:u w:val="single"/>
              </w:rPr>
              <w:t>and which you since have sold at a loss</w:t>
            </w:r>
            <w:r>
              <w:rPr>
                <w:rFonts w:ascii="Times New Roman" w:hAnsi="Times New Roman"/>
                <w:sz w:val="20"/>
              </w:rPr>
              <w:t xml:space="preserve">, in addition to properly submitting a Rescission Offer Election Form, you must also submit, in accordance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instructions set forth in the Rescission Offer Election Procedures, reasonably satisfactory proof of a bona fide sale transaction (including proof of the sale price) and proof of share ownership. See “— What is considered proof of a bona fide transaction? What is considered proof of share ownership?”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YOUR PROPERLY SUBMITTED RESCISSION OFFER ELECTION FORM (TOGETHER WITH ANY OTHER REQUIRED DOCUMENTS, INCLUDING ANY SHARES THAT MAY BE REQUIRED TO BE DELIVERED) MUST BE SUBMITTED BEFORE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IF YOU FAIL TO PROPERLY COMPLETE ALL DELIVERIES AND OTHER ACTIONS REQUIRED TO VALIDLY ACCEPT THE RESCISSION OFFER BEFORE THE EXPIRATION DATE, YOU WILL BE DEEMED TO HAVE REJECTED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WILL, IN OUR SOLE DISCRETION, DETERMINE WHETHER YOUR RESCISSION OFFER ELECTION FORM HAS BEEN PROPERLY SUBMITTED AND TIMELY RECEIVED, WHETHER YOUR SHARES HAVE BEEN PROPERLY DELIVERED TO COMPUTERSHARE, WHETHER ANY REQUIRED PROOF IS REASONABLY SATISFACTORY AND WHETHER YOU ARE ELIGIBLE TO ACCEPT THE RESCISSION OFFER. </w:t>
      </w:r>
    </w:p>
    <w:p>
      <w:pPr>
        <w:pStyle w:val="TextBody"/>
        <w:bidi w:val="0"/>
        <w:spacing w:before="120" w:after="0"/>
        <w:jc w:val="left"/>
        <w:rPr>
          <w:rFonts w:ascii="Times New Roman" w:hAnsi="Times New Roman"/>
          <w:sz w:val="20"/>
        </w:rPr>
      </w:pPr>
      <w:r>
        <w:rPr>
          <w:rFonts w:ascii="Times New Roman" w:hAnsi="Times New Roman"/>
          <w:b/>
          <w:sz w:val="20"/>
        </w:rPr>
        <w:t>Before making your election, make sure all of your information in EquatePlus is current and accurate</w:t>
      </w:r>
      <w:r>
        <w:rPr>
          <w:rFonts w:ascii="Times New Roman" w:hAnsi="Times New Roman"/>
          <w:sz w:val="20"/>
        </w:rPr>
        <w:t xml:space="preserve"> (including but not limited to your W-9 tax certification, mailing address, bank information and payment details, telephone number, and email address). </w:t>
      </w:r>
      <w:r>
        <w:rPr>
          <w:rFonts w:ascii="Times New Roman" w:hAnsi="Times New Roman"/>
          <w:i/>
          <w:sz w:val="20"/>
        </w:rPr>
        <w:t>You can view your information in EquatePlus by logging on to your EquatePlus account at www.equateplus.com and clicking the down arrow next to your name, on the “Overview” page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Proceeds, less required tax withholding (if applicable), will be paid by CBIZ. </w:t>
      </w:r>
    </w:p>
    <w:p>
      <w:pPr>
        <w:pStyle w:val="TextBody"/>
        <w:bidi w:val="0"/>
        <w:spacing w:before="120" w:after="0"/>
        <w:jc w:val="left"/>
        <w:rPr>
          <w:rFonts w:ascii="Times New Roman" w:hAnsi="Times New Roman"/>
          <w:sz w:val="20"/>
        </w:rPr>
      </w:pPr>
      <w:r>
        <w:rPr>
          <w:rFonts w:ascii="Times New Roman" w:hAnsi="Times New Roman"/>
          <w:sz w:val="20"/>
        </w:rPr>
        <w:t xml:space="preserve">If your EquatePlus account is not W-9 certified before the Expiration Date, additional amounts may be required to be withheld from any payments made to you in connection with the Rescission Offer, and the IRS may impose certain penalties. The current withholding rate is 24%. </w:t>
      </w:r>
    </w:p>
    <w:p>
      <w:pPr>
        <w:pStyle w:val="TextBody"/>
        <w:bidi w:val="0"/>
        <w:spacing w:before="120" w:after="0"/>
        <w:jc w:val="left"/>
        <w:rPr>
          <w:rFonts w:ascii="Times New Roman" w:hAnsi="Times New Roman"/>
          <w:sz w:val="20"/>
        </w:rPr>
      </w:pPr>
      <w:r>
        <w:rPr>
          <w:rFonts w:ascii="Times New Roman" w:hAnsi="Times New Roman"/>
          <w:sz w:val="20"/>
        </w:rPr>
        <w:t xml:space="preserve">All determinations with respect to the Rescission Offer Election Form and the Rescission Offer (including issues relating to the timeliness or effectiveness of any election and the sufficiency of any documentation) will be made by us, which determinations shall be final and binding. We reserve the right to waive any defects, irregularities or conditions of delivery as to particular shares. A waiver of any defect or irregularity with respect to the delivery of one share shall not constitute a waiver of the same or any other defect or irregularity with respect to the delivery of any other shares except to the extent we may otherwise so provide.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regarding the terms of the Rescission Offer, please contact SOS at(615) 994-8665 or via email at CBIZ_RescissionOffer@sos-team.com.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to accept the Rescission Offer if I hold Eligible Shares through a broker or nominee that is not Computershare?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acquired, and still hold, any Eligible Shares through a broker or nominee that is not Computershare, and you desire to accept the Rescission Offer with respect to those shares, you must, before the Expiration Date, (i) properly submit the Rescission Offer Election Form, along with supporting documentation and (ii) contact your broker or nominee promptly and instruct it to place your Eligible Shares in your name at Computershare via the Direct Registration System (“DRS”). You should contact your broker or other nominee as soon as practicable to allow for sufficient time for your broker or nominee to place your shares of Common Stock via DRS in your name at Computershare. Your broker or nominee may charge you a fee for delivering the shares. You should consult with your broker or nominee to determine whether any charges will apply.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considered proof of a bona fide transaction? What is considered proof of share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sold any Eligible Shares through a broker or nominee that is not Computershare at a loss to a third party in a bona fide transaction, you will need to submit, in accordance with the instructions set forth in the Rescission Offer Election Procedures, proof reasonably satisfactory to CBIZ evidencing the sale price and amount of such shares. </w:t>
            </w:r>
            <w:r>
              <w:rPr>
                <w:rFonts w:ascii="Times New Roman" w:hAnsi="Times New Roman"/>
                <w:i/>
                <w:sz w:val="20"/>
              </w:rPr>
              <w:t>Satisfactory proof may take the form of a receipt or transaction or confirmation statement from the broker, dealer, or other person conducting the sale, and may include confirmation of shares sold on official broker letterhead that details the sale price, IRS Form 1099-B showing the sales proceeds or transactional statements on your broker’s letterhead. The sale price may have been paid in either cash or property. If the sale price was paid in property, the price will be deemed to be the fair market value of such property at the time of sale.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continue to hold any Eligible Shares through a broker or nominee that is not Computershare, you will need to submit, in accordance with the instructions set forth in the Rescission Offer Election Procedures, proof reasonably satisfactory to CBIZ evidencing that you held such shares prior to the commencement of the Rescission Offer. </w:t>
      </w:r>
      <w:r>
        <w:rPr>
          <w:rFonts w:ascii="Times New Roman" w:hAnsi="Times New Roman"/>
          <w:i/>
          <w:sz w:val="20"/>
        </w:rPr>
        <w:t>Satisfactory proof may take the form of a receipt or transaction or confirmation statement from the broker, dealer, or other person showing that the shares were held on your behalf prior to the commencement of the Rescission Offer.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proof of a bona fide sale (including proof linking shares of Common Stock sold through a separate broker to your original acquisition of such shares through Computershare during the Purchase Period) or share ownership is not reasonably satisfactory to CBIZ, in its sole discretion, you will be deemed to have rejected the Rescission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to reject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need to take any action to reject the Rescission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have already accepted the Rescission Offer by submitting a Rescission Offer Election Form and now wish to reject the Rescission Offer Election Form, see below “— Can I change my election after I have submitted my Rescission Offer Election?”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fail to properly complete or submit any of the required documents or take any other required action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not properly submit a Rescission Offer Election Form (together with any other required documents) and, in the case of any Eligible Shares you currently hold outside of EquatePlus, do not place such shares via DRS in your name at Computershare, before the Expiration Date, or if you fail to take any other required action in a timely manner, you will be deemed to have rejected the Rescission Offer, unless we in our sole discretion elect to waive the requirement for a particular document or action, or to extend the deadline for the submission of any required document or the taking of any required action, as applicable. If you have previously sold any Eligible Shares through a broker or nominee that is not Computershare at a loss, see “—What is considered proof of a bona fide transaction? What is considered proof of share ownership?” above.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reject the Rescission Offer, you will not receive any payment with respect to any Eligible Shares, but you will retain any shares you currently hold.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I change my election after I have submitted my Rescission Offer Election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 can change your decision about accepting the Rescission Offer at any time before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Withdraw</w:t>
            </w:r>
            <w:r>
              <w:rPr>
                <w:rFonts w:ascii="Times New Roman" w:hAnsi="Times New Roman"/>
                <w:sz w:val="20"/>
              </w:rPr>
              <w:t xml:space="preserve">: If you decide to reject the Rescission Offer after you have already submitted a Rescission Offer Election Form, you must properly withdraw your election </w:t>
            </w:r>
            <w:r>
              <w:rPr>
                <w:rFonts w:ascii="Times New Roman" w:hAnsi="Times New Roman"/>
                <w:b/>
                <w:sz w:val="20"/>
              </w:rPr>
              <w:t>before the Expiration Date</w:t>
            </w:r>
            <w:r>
              <w:rPr>
                <w:rFonts w:ascii="Times New Roman" w:hAnsi="Times New Roman"/>
                <w:sz w:val="20"/>
              </w:rPr>
              <w:t xml:space="preserve">, as outlined in the Rescission Offer Election Procedures.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Modify</w:t>
            </w:r>
            <w:r>
              <w:rPr>
                <w:rFonts w:ascii="Times New Roman" w:hAnsi="Times New Roman"/>
                <w:sz w:val="20"/>
              </w:rPr>
              <w:t xml:space="preserve">: If you change your election after having submitted your Rescission Offer Election Form, you must properly modify your election </w:t>
            </w:r>
            <w:r>
              <w:rPr>
                <w:rFonts w:ascii="Times New Roman" w:hAnsi="Times New Roman"/>
                <w:b/>
                <w:sz w:val="20"/>
              </w:rPr>
              <w:t>before the Expiration Date</w:t>
            </w:r>
            <w:r>
              <w:rPr>
                <w:rFonts w:ascii="Times New Roman" w:hAnsi="Times New Roman"/>
                <w:sz w:val="20"/>
              </w:rPr>
              <w:t xml:space="preserve">, as outlined in the Rescission Offer Election Procedures. </w:t>
            </w:r>
          </w:p>
        </w:tc>
      </w:tr>
    </w:tbl>
    <w:p>
      <w:pPr>
        <w:pStyle w:val="TextBody"/>
        <w:bidi w:val="0"/>
        <w:spacing w:before="120" w:after="0"/>
        <w:jc w:val="left"/>
        <w:rPr>
          <w:rFonts w:ascii="Times New Roman" w:hAnsi="Times New Roman"/>
          <w:sz w:val="20"/>
        </w:rPr>
      </w:pPr>
      <w:r>
        <w:rPr>
          <w:rFonts w:ascii="Times New Roman" w:hAnsi="Times New Roman"/>
          <w:b/>
          <w:sz w:val="20"/>
        </w:rPr>
        <w:t>You should retain copies of all of your submitted Rescission Offer Election Forms including all modifications and withdrawals for your personal records</w:t>
      </w:r>
      <w:r>
        <w:rPr>
          <w:rFonts w:ascii="Times New Roman" w:hAnsi="Times New Roman"/>
          <w:sz w:val="20"/>
        </w:rPr>
        <w:t xml:space="preserve">. </w:t>
      </w:r>
      <w:r>
        <w:rPr>
          <w:rFonts w:ascii="Times New Roman" w:hAnsi="Times New Roman"/>
          <w:b/>
          <w:sz w:val="20"/>
        </w:rPr>
        <w:t xml:space="preserve">After the Expiration Date, you will not be able to access the Rescission Offer Election Form on EquatePlus. </w:t>
      </w:r>
    </w:p>
    <w:p>
      <w:pPr>
        <w:pStyle w:val="TextBody"/>
        <w:bidi w:val="0"/>
        <w:spacing w:before="120" w:after="0"/>
        <w:jc w:val="left"/>
        <w:rPr>
          <w:rFonts w:ascii="Times New Roman" w:hAnsi="Times New Roman"/>
          <w:sz w:val="20"/>
        </w:rPr>
      </w:pPr>
      <w:r>
        <w:rPr>
          <w:rFonts w:ascii="Times New Roman" w:hAnsi="Times New Roman"/>
          <w:sz w:val="20"/>
        </w:rPr>
        <w:t xml:space="preserve">IF YOU HAVE PREVIOUSLY ACCEPTED THE RESCISSION OFFER, AND YOU WISH TO CHANGE YOUR ELECTION, YOU MUST DO SO BEFORE THE EXPIRATION DATE. OTHERWISE, YOU WILL BE DEEMED TO HAVE ACCEPTED THE RESCISSION OFFER PURSUANT TO THE LAST RESCISSION OFFER ELECTION FORM THAT YOU SUBMITTED. </w:t>
      </w:r>
    </w:p>
    <w:p>
      <w:pPr>
        <w:pStyle w:val="TextBody"/>
        <w:bidi w:val="0"/>
        <w:spacing w:before="120" w:after="0"/>
        <w:jc w:val="left"/>
        <w:rPr>
          <w:rFonts w:ascii="Times New Roman" w:hAnsi="Times New Roman"/>
          <w:sz w:val="20"/>
        </w:rPr>
      </w:pPr>
      <w:r>
        <w:rPr>
          <w:rFonts w:ascii="Times New Roman" w:hAnsi="Times New Roman"/>
          <w:sz w:val="20"/>
        </w:rPr>
        <w:t xml:space="preserve">WE WILL, IN OUR SOLE DISCRETION, DETERMINE WHETHER MODIFICATIONS OF PREVIOUSLY SUBMITTED RESCISSION OFFER ELECTION FORMS HAVE BEEN PROPERLY SUBMITTED AND TIMELY RECEIVED AND WHETHER YOU ARE ELIGIBLE TO MODIFY YOUR ACCEPTANCE OF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All determinations with respect to any modifications and the Rescission Offer (including issues relating to the timeliness or effectiveness of any election and the sufficiency of any documentation) will be made by us, which determinations shall be final and binding. We reserve the right to waive any defects, irregularities or conditions of withdrawal as to particular shares. A waiver of any defect or irregularity with respect to the withdrawal of one share shall not constitute a waiver of the same or any other defect or irregularity with respect to the withdrawal of any other shares except to the extent we may otherwise so provide.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how will I receive payment for my shares of Common Stock if I properly accept the Rescission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Proceeds, less required tax withholding (if applicable), will be paid by CBIZ. If your EquatePlus account is not W-9 certified before the Expiration Date, additional amounts may be required to be withheld from any payments made to you in connection with the Rescission Offer, and the IRS may impose certain penalties. The current withholding rate is 24%. </w:t>
            </w:r>
          </w:p>
        </w:tc>
      </w:tr>
    </w:tbl>
    <w:p>
      <w:pPr>
        <w:pStyle w:val="TextBody"/>
        <w:bidi w:val="0"/>
        <w:spacing w:before="120" w:after="0"/>
        <w:jc w:val="left"/>
        <w:rPr>
          <w:rFonts w:ascii="Times New Roman" w:hAnsi="Times New Roman"/>
          <w:sz w:val="20"/>
        </w:rPr>
      </w:pPr>
      <w:r>
        <w:rPr>
          <w:rFonts w:ascii="Times New Roman" w:hAnsi="Times New Roman"/>
          <w:b/>
          <w:sz w:val="20"/>
        </w:rPr>
        <w:t>Before making your election, make sure all of your information in EquatePlus is current and accurate</w:t>
      </w:r>
      <w:r>
        <w:rPr>
          <w:rFonts w:ascii="Times New Roman" w:hAnsi="Times New Roman"/>
          <w:sz w:val="20"/>
        </w:rPr>
        <w:t xml:space="preserve"> (including but not limited to your W-9 tax certification, mailing address, bank information and payment details, telephone number, and email address). </w:t>
      </w:r>
      <w:r>
        <w:rPr>
          <w:rFonts w:ascii="Times New Roman" w:hAnsi="Times New Roman"/>
          <w:i/>
          <w:sz w:val="20"/>
        </w:rPr>
        <w:t>You can view your information in EquatePlus by logging on to your EquatePlus account at www.equateplus.com and clicking the down arrow next to your name, on the “Overview” page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the Rescission Offer be funded?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Rescission Offer will be funded from: our existing cash balance, funds from our revolving credit facility or cash flow from operations. Even if all persons eligible to participate in the Rescission Offer accept our offer to the full extent, we do not expect that this Rescission Offer, and the exercise of other applicable rescission rights, would have a material impact on our results of operations, financial condition, or liquidity. As of June 30, 2026, we had a working capital of approximately $320.4 million, with cash and cash equivalents of approximately $20.9 million. If the Rescission Offer is accepted in full, we could be required to make aggregate payments of up to approximately $20.2 million (calculated as of June 30, 2026), which includes estimated statutory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recommend that you consult your own counsel, accountant, or other advisors for legal, tax, business, financial and related advice before making your decision about accepting or rejecting the Rescission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regarding the terms of the Rescission Offer, please contact SOS at (615) 994-8665 or via email at CBIZ_RescissionOffer@sos-team.com.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33368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shares of our Common Stock involves various risks. You should carefully consider the risk factors described in Part I, Item 1A, “Risk Factors” in our Annual Report, and in our other reports we file from time to time with the SEC, which are incorporated by reference into this prospectus, as the same may be amended, supplemented or superseded from time to time by our filings under the Exchange Act. You should also carefully consider the risks described below, and the other information included or incorporated by reference into this prospectus before deciding whether or not to accept the Rescission Offer. The risks described below and in the documents incorporated by reference herein are not the only risks applicable to us or an investment in our Common Stock. Additional risks not currently known to us or that we currently consider immaterial also may impair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the Rescission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Rescission Offer may not bar claims relating to our possible non-compliance with securities laws, and we may continue to be contingently liable for rescission or damages in an indeterminate amount. </w:t>
      </w:r>
    </w:p>
    <w:p>
      <w:pPr>
        <w:pStyle w:val="TextBody"/>
        <w:bidi w:val="0"/>
        <w:spacing w:before="120" w:after="0"/>
        <w:jc w:val="left"/>
        <w:rPr>
          <w:rFonts w:ascii="Times New Roman" w:hAnsi="Times New Roman"/>
          <w:sz w:val="20"/>
        </w:rPr>
      </w:pPr>
      <w:r>
        <w:rPr>
          <w:rFonts w:ascii="Times New Roman" w:hAnsi="Times New Roman"/>
          <w:sz w:val="20"/>
        </w:rPr>
        <w:t xml:space="preserve">It is not certain that the Rescission Offer will have the effect of barring claims relating to our possible non-compliance with applicable federal securities laws. If a person accepts the Rescission Offer, we believe our potential liability to that person will likely be eliminated. If a person rejects or fails to respond to the Rescission Offer, we may continue to be contingently liable for rescission or damages, which could result in an adverse effect on our results of operations and financial condition. In addition, the Rescission Offer will not prevent regulators from pursuing actions or imposing penalties and fines against us with respect to any potential violations of securities laws. Even if all persons eligible to participate in the Rescission Offer accept our offer to the full extent, we do not expect that this Rescission Offer, and the exercise of other applicable rescission rights, would have a material impact on our results of operations, financial condition, or liquidity.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right of rescission under federal and state law, if any, may not survive if you reject or fail to accept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The rights remaining to the recipients of a rescission offer are not clearly delineated under the federal or certain state securities laws. If you reject or fail to accept the Rescission Offer, it is unclear whether any right of rescission you may have will be preserved. While it is possible that the federal securities laws could be interpreted as providing that your right of rescission survives the Rescission Offer, it is also possible that a person who rejects the Rescission Offer may be precluded from later seeking relief under those laws. Certain federal courts that have addressed this issue in the past have suggested that, at least in certain circumstances, a person who rejects or fails to accept a rescission offer may be precluded from later seeking similar relief. </w:t>
      </w:r>
    </w:p>
    <w:p>
      <w:pPr>
        <w:pStyle w:val="TextBody"/>
        <w:bidi w:val="0"/>
        <w:spacing w:before="240" w:after="0"/>
        <w:jc w:val="left"/>
        <w:rPr>
          <w:rFonts w:ascii="Times New Roman" w:hAnsi="Times New Roman"/>
          <w:sz w:val="20"/>
        </w:rPr>
      </w:pPr>
      <w:r>
        <w:rPr>
          <w:rFonts w:ascii="Times New Roman" w:hAnsi="Times New Roman"/>
          <w:sz w:val="20"/>
        </w:rPr>
        <w:t xml:space="preserve">The Rescission Offer may also affect your right of rescission and your right to damages, if any, under state law. We believe that the purchases of the Eligible Shares were exempt from registration under state laws.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believe that the Rescission Offer is exempt from registration under the laws of such states and thus need not comply with the laws of such states regulating such offers. However, we do not make any representation as to the compliance of this Rescission Offer with applicable state law. Under most state laws, acceptance or rejection of a rescission offer may preclude offerees from initiating an action against the rescission offeror in connection with the registration or delivery of securities that are the subject of the rescission offer. We may assert, among other defenses, in any litigation initiated by a person eligible to participate in the Rescission Offer who accepts or rejects (or is deemed to reject) the Rescission Offer, that such person is legally barred from asserting such claims as a result of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Generally, the statute of limitations under the Securities Act for enforcement of federal statutory rescission rights by a security holder is one year commencing on the date of the sale of the security sold in violation of the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registration requirements, but in no event later than three years after the security was bona fide offered to the public. Statutes of limitations under state laws vary by state, with the limitation time period under certain state statutes not typically beginning until the facts giving rise to a violation are known. The Rescission Offer is not an admission that we did not comply with any federal or state registration or delivery or disclosure requirements nor is it a waiver by us of any applicable statute of limitations or any potential defense we may have. Determining when a statute of limitations expires under federal or state law can be a difficult issue and you should consult with an attorney if you have any questions regarding how federal or state statutes of limitations may apply to any claims you may have.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cannot predict whether the amounts you would receive in the Rescission Offer for shares of Common Stock that you still own would be greater than the fair market value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actively traded on the NYSE under the symbol “CBZ.” The amount you would receive in the Rescission Offer is not tied to the market value of our Common Stock on the NYSE at the time the Rescission Offer expires, which is 5:00 p.m., Eastern Time, on September 8, 2026. However, eligibility for shares of Common Stock delivered in the Rescission Offer is tied to the market value of our Common Stock on the Expiration Date, and we will not accept your Rescission Offer Election Form for any Eligible Shares you currently own if the original purchase price of such shares at the time of your acquisition under the ESPP plus an amount equal to interest (through the Expiration Date) is less than the last reported sale price of our Common Stock (as reported on the NYSE) on the Expiration Date, as it would not be economically beneficial to you. </w:t>
      </w:r>
    </w:p>
    <w:p>
      <w:pPr>
        <w:pStyle w:val="TextBody"/>
        <w:bidi w:val="0"/>
        <w:spacing w:before="240" w:after="0"/>
        <w:jc w:val="left"/>
        <w:rPr>
          <w:rFonts w:ascii="Times New Roman" w:hAnsi="Times New Roman"/>
          <w:sz w:val="20"/>
        </w:rPr>
      </w:pPr>
      <w:r>
        <w:rPr>
          <w:rFonts w:ascii="Times New Roman" w:hAnsi="Times New Roman"/>
          <w:sz w:val="20"/>
        </w:rPr>
        <w:t xml:space="preserve">Even if accepting the Rescission Offer would be economically beneficial to you at the time of the Expiration Date (and therefore you are eligible to accept the Rescission Offer), we cannot anticipate subsequent market developments, whether at the time payment is made or thereafter, and we cannot predict whether accepting the Rescission Offer would continue to be economically beneficial to you following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Rescission Offer is not conditioned on the approval of or related to the closing of the proposed Merger, and the proposed Merger is not conditioned on or subject to the Rescission Offer. The Rescission Offer will expire and settle prior to the closing of the proposed Merger, which is subject to the satisfaction of customary closing conditions, including approval by CBIZ shareholders, receipt of required regulatory approvals, the expiration or termination of applicable waiting periods, and the satisfaction of other customary conditions, any of which could delay or prohibit the closing of the proposed Merger. </w:t>
      </w:r>
    </w:p>
    <w:p>
      <w:pPr>
        <w:pStyle w:val="TextBody"/>
        <w:bidi w:val="0"/>
        <w:spacing w:before="240" w:after="0"/>
        <w:jc w:val="left"/>
        <w:rPr>
          <w:rFonts w:ascii="Times New Roman" w:hAnsi="Times New Roman"/>
          <w:sz w:val="20"/>
        </w:rPr>
      </w:pPr>
      <w:r>
        <w:rPr>
          <w:rFonts w:ascii="Times New Roman" w:hAnsi="Times New Roman"/>
          <w:sz w:val="20"/>
        </w:rPr>
        <w:t xml:space="preserve">While we can make no assurances as to the prices that our shares of Common Stock will trade at in the future, you should consider that on August 4, 2026, the last reported sale price of our Common Stock (as reported on the NYSE) was $55.08 per share. Further, we expect that the trading price of our Common Stock will continue to be impacted through the Expiration Date (and likely through the consummation or termination of the proposed Merger) by the $55.00 per share proposed Merger consideration. Based upon the purchase prices and the number of shares of Common Stock purchased pursuant to the ESPP during the Purchase Period, the payment that would be received upon acceptance by eligible ESPP participants of the Rescission Offer with respect to a significant portion of their shares would be less than $55.08 per share. As a result, a significant number of such ESPP participants may be able to sell their shares in the open market at prices higher than the prices we are offering to pay in the Rescission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33368_6"/>
      <w:bookmarkEnd w:id="8"/>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CBIZ, Inc. is a leading professional services advisor to businesses nationwide. With industry knowledge and expertise in accounting, tax, advisory, benefits, insurance and technology, CBIZ delivers actionable insights to help clients anticipate what is next and discover new ways to accelerate growth. CBIZ has more than 9,500 team members across 23 major markets coast to coast. </w:t>
      </w:r>
    </w:p>
    <w:p>
      <w:pPr>
        <w:pStyle w:val="TextBody"/>
        <w:bidi w:val="0"/>
        <w:spacing w:before="240" w:after="0"/>
        <w:jc w:val="left"/>
        <w:rPr>
          <w:rFonts w:ascii="Times New Roman" w:hAnsi="Times New Roman"/>
          <w:sz w:val="20"/>
        </w:rPr>
      </w:pPr>
      <w:r>
        <w:rPr>
          <w:rFonts w:ascii="Times New Roman" w:hAnsi="Times New Roman"/>
          <w:sz w:val="20"/>
        </w:rPr>
        <w:t xml:space="preserve">CBIZ, Inc. is a Delaware corporation. Our shares of Common Stock are listed on the NYSE under the symbol “CBZ.” Our principal executive offices are located at 5959 Rockside Woods Blvd. N., Suite 600, Independence, Ohio 44131, and our telephone number is (216) 447-9000. Our corporate website address is www.cbiz.com. Our website and the information contained on, or that can be accessed through, our website is not deemed to be incorporated by reference in, and is not considered part of, this prospectus. You should not rely on any such information in making your investment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33368_7"/>
      <w:bookmarkEnd w:id="9"/>
      <w:r>
        <w:rPr>
          <w:rFonts w:ascii="Times New Roman" w:hAnsi="Times New Roman"/>
          <w:b/>
          <w:sz w:val="20"/>
        </w:rPr>
        <w:t xml:space="preserve">THE RESCISSION OFFER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and Reasons for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to repurchase up to 481,049 shares of our Common Stock from persons who acquired those shares under the ESPP during the Purchase Period, as we have determined that those shares may have been acquired under the ESPP without registration pursuant to the Securities Act. Although the shares of Common Stock acquired under the ESPP were purchased in the open market by Computershare, the custodian of the ESPP, the SEC takes the position that we are required to register the sale of these shares under the ESPP with the SEC. Our inadvertent failure to timely file a registration statement on Form S-8 as required under the Securities Act may have constituted a violation of Section 5 of the Securities Act (which generally requires registration of offers and sales of securities) and may give rise to liability under Section 12 of the Securities Act (which generally provides a rescission remedy for offers and sales of securities in violation of Section 5). </w:t>
      </w:r>
    </w:p>
    <w:p>
      <w:pPr>
        <w:pStyle w:val="TextBody"/>
        <w:bidi w:val="0"/>
        <w:spacing w:before="240" w:after="0"/>
        <w:jc w:val="left"/>
        <w:rPr>
          <w:rFonts w:ascii="Times New Roman" w:hAnsi="Times New Roman"/>
          <w:sz w:val="20"/>
        </w:rPr>
      </w:pPr>
      <w:r>
        <w:rPr>
          <w:rFonts w:ascii="Times New Roman" w:hAnsi="Times New Roman"/>
          <w:sz w:val="20"/>
        </w:rPr>
        <w:t xml:space="preserve">We are making the Rescission Offer to ensure compliance with the Securities Act and to limit any contingent liability we may have as a result of possible noncompliance with applicable federal registration requirements in connection with the acquisition of such shares by ESPP participants pursuant to the ESPP. </w:t>
      </w:r>
    </w:p>
    <w:p>
      <w:pPr>
        <w:pStyle w:val="TextBody"/>
        <w:bidi w:val="0"/>
        <w:spacing w:before="240" w:after="0"/>
        <w:jc w:val="left"/>
        <w:rPr>
          <w:rFonts w:ascii="Times New Roman" w:hAnsi="Times New Roman"/>
          <w:sz w:val="20"/>
        </w:rPr>
      </w:pPr>
      <w:r>
        <w:rPr>
          <w:rFonts w:ascii="Times New Roman" w:hAnsi="Times New Roman"/>
          <w:sz w:val="20"/>
        </w:rPr>
        <w:t xml:space="preserve">Members of our Board of Directors are not eligible for the ESPP. Our current executive officers have informed us that they do not intend to participate in the Rescission Offer.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If you reject, or fail to timely accept, the Rescission Offer in accordance with the terms and conditions set forth in this prospectus and the instructions set forth in the Rescission Offer Election Procedures before 5:00 p.m., Eastern Time, on September 8, 2026, the Expiration Date, or if you accept the Rescission Offer but we determine that you are not eligible to accept the Rescission Offer under the terms set forth in this prospectus, you will retain ownership of the shares you hold and will not receive any payment for any Eligible Shares (including any shares that you may have previously sold). </w:t>
      </w:r>
    </w:p>
    <w:p>
      <w:pPr>
        <w:pStyle w:val="TextBody"/>
        <w:bidi w:val="0"/>
        <w:spacing w:before="240" w:after="0"/>
        <w:jc w:val="left"/>
        <w:rPr>
          <w:rFonts w:ascii="Times New Roman" w:hAnsi="Times New Roman"/>
          <w:sz w:val="20"/>
        </w:rPr>
      </w:pPr>
      <w:r>
        <w:rPr>
          <w:rFonts w:ascii="Times New Roman" w:hAnsi="Times New Roman"/>
          <w:sz w:val="20"/>
        </w:rPr>
        <w:t xml:space="preserve">Your acceptance of the Rescission Offer may preclude you from later seeking similar relief, if any is available. We may assert, among other defenses, in any litigation initiated by a person eligible to participate in the Rescission Offer who accepts or rejects (or is deemed to reject) the Rescission Offer, that such person is legally barred from asserting such claims as a result of the Rescission Offer. For federal securities law purposes, rejection of or the failure to accept the Rescission Offer may not terminate an offeree’s right to bring a civil action against the offeror for failure to deliver a prospectus required under the Securities Act before expiration of the applicable statute of limitations. However, certain federal courts that have addressed this issue in the past have suggested that, at least in certain circumstances, a person who rejects or fails to accept a rescission offer may be precluded from later seeking similar relief. The Rescission Offer is not an admission that we did not comply with applicable federal or state requirements, nor is it a waiver by us of any applicable statute of limitations or any potential defense we may have.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relates primarily to your potential rescission rights and does not address the antifraud provisions of the federal securities laws or rights under state securities laws, at common law or in equity. We believe that the purchases of shares of Common Stock that are the subject of the Rescission Offer were exempt from registration under state laws. Furthermore, we believe that this Rescission Offer is exempt from registration under state laws and thus need not comply with state laws regulating such offers. However, we do not make any representation as to the compliance of this Rescission Offer with any applicable state law. Under most state laws, acceptance or rejection of rescission offers may preclude offerees from initiating an action against the rescission offeror in connection with the registration of securities that are the subject of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Generally, the statute of limitations under the Securities Act for enforcement of your federal statutory rescission rights by a security holder is one year commencing on the date of the sale of the security sold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violation of the federal registration requirements, but in no event later than three years after the security was bona fide offered to the public. Statutes of limitations under state laws vary by state, with the limitation period under certain state statutes not typically beginning until the facts giving rise to the violation are known. Determining when a statute of limitations expires under federal or state law can be a difficult issue, and you should consult with an attorney if you have any questions regarding how federal or state statutes of limitations may apply to any claims you have or regarding any of your legal rights and remedies before deciding whether or not to accept the Rescission Offer. </w:t>
      </w:r>
    </w:p>
    <w:p>
      <w:pPr>
        <w:pStyle w:val="TextBody"/>
        <w:bidi w:val="0"/>
        <w:spacing w:before="360" w:after="0"/>
        <w:jc w:val="left"/>
        <w:rPr>
          <w:rFonts w:ascii="Times New Roman" w:hAnsi="Times New Roman"/>
          <w:b/>
          <w:sz w:val="20"/>
        </w:rPr>
      </w:pPr>
      <w:r>
        <w:rPr>
          <w:rFonts w:ascii="Times New Roman" w:hAnsi="Times New Roman"/>
          <w:b/>
          <w:sz w:val="20"/>
        </w:rPr>
        <w:t xml:space="preserve">Terms of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For any Eligible Shares which you have previously sold at a loss, you may accept the Rescission Offer with respect to any such shares, in which case you will receive in U.S. dollars an amount equal to the excess of the purchase price paid for such shares upon your acquisition under the ESPP (i.e., the discounted purchase price under the ESPP) over the proceeds of the sale of the shares of Common Stock, plus an amount equal to interest, at a rate of 5.44% per year, which will be paid on the original purchase price of the shares under the ESPP (i.e., the discounted purchase price under the ESPP) for the period from the date you acquired such shares through the date you sold the shares. Interest will also be paid on the loss from the sale of such shares for the period from (but excluding) the date of sale through the Expiration Date. Interest will accrue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For any Eligible Shares which you currently hold, you may accept the Rescission Offer with respect to any such shares, and we will repurchase those shares from you, in which case you will receive in U.S. dollars an amount equal to the original purchase price paid for such shares pursuant to your acquisition under the ESPP (i.e., the discounted purchase price under the ESPP), plus an amount equal to interest on such purchase price at a rate of 5.44% per year for the period from the date you acquired the shares through the Expiration Date. However, we will not repurchase shares for which the original purchase price under the ESPP during the Purchase Period, plus an amount equal to interest for the period from the date of the acquisition through the Expiration Date, is less than the last reported sale price of our Common Stock (as reported on the NYSE) on the Expiration Date, as it would not be economically beneficial to you. Although we use the term “interest” when describing the calculation of the Rescission Offer price, the term is only intended to describe the method used to calculate the payment amount, and the payment is not considered interest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Because this Rescission Offer is being made, in part, to limit any contingent liability that we may have as a result of possible noncompliance with applicable U.S. federal registration requirements, and because the offerees to whom this Rescission Offer is being made reside in a variety of U.S. jurisdictions, we believe that it is appropriate to use a U.S. federal reference rate of interest to determine the interest rate to be applied in determining amounts payable pursuant to this Rescission Offer. U.S. federal law does not provide a specific rate of interest to be used in rescission offers. We will use an annual interest rate of 5.44%, which is calculated on the basis of the highest weekly average one-year constant maturity Treasury yield in effect at any time during the Purchase Period, as published by the Board of Governors of the Federal Reserve System. </w:t>
      </w:r>
    </w:p>
    <w:p>
      <w:pPr>
        <w:pStyle w:val="TextBody"/>
        <w:bidi w:val="0"/>
        <w:spacing w:before="240" w:after="0"/>
        <w:jc w:val="left"/>
        <w:rPr>
          <w:rFonts w:ascii="Times New Roman" w:hAnsi="Times New Roman"/>
          <w:sz w:val="20"/>
        </w:rPr>
      </w:pPr>
      <w:r>
        <w:rPr>
          <w:rFonts w:ascii="Times New Roman" w:hAnsi="Times New Roman"/>
          <w:sz w:val="20"/>
        </w:rPr>
        <w:t xml:space="preserve">Unless extended by us, the Rescission Offer will expire at 5:00 p.m., Eastern Time, on September 8, 2026. If all deliveries and other actions required to validly accept the Rescission Offer are completed in accordance with the terms and conditions set forth in this prospectus and the instructions set forth in the Rescission Offer Election Procedures prior to the deadline specified in the preceding sentence, and we determine that you are eligible to accept the Rescission Offer, we expect that CBIZ will send you payment of any proceeds to which you are entitled on or before September 22, 2026, or as soon as practicable thereafter. </w:t>
      </w:r>
    </w:p>
    <w:p>
      <w:pPr>
        <w:pStyle w:val="TextBody"/>
        <w:bidi w:val="0"/>
        <w:spacing w:before="240" w:after="0"/>
        <w:jc w:val="left"/>
        <w:rPr>
          <w:rFonts w:ascii="Times New Roman" w:hAnsi="Times New Roman"/>
          <w:sz w:val="20"/>
        </w:rPr>
      </w:pPr>
      <w:r>
        <w:rPr>
          <w:rFonts w:ascii="Times New Roman" w:hAnsi="Times New Roman"/>
          <w:b/>
          <w:sz w:val="20"/>
        </w:rPr>
        <w:t xml:space="preserve">Before making your election, make sure all of your information in EquatePlus is current and accurate </w:t>
      </w:r>
      <w:r>
        <w:rPr>
          <w:rFonts w:ascii="Times New Roman" w:hAnsi="Times New Roman"/>
          <w:sz w:val="20"/>
        </w:rPr>
        <w:t xml:space="preserve">(including but not limited to your W-9 tax certification, mailing address, bank information and payment details, telephone number, and email address). </w:t>
      </w:r>
      <w:r>
        <w:rPr>
          <w:rFonts w:ascii="Times New Roman" w:hAnsi="Times New Roman"/>
          <w:i/>
          <w:sz w:val="20"/>
        </w:rPr>
        <w:t>You can view your information in EquatePlus by logging on to your EquatePlus account at www.equateplus.com and clicking the down arrow next to your name, on the “Overview” page.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Proceeds, less required tax withholding (if applicable), will be paid by CBIZ. If your EquatePlus account is not W-9 certified before the Expiration Date, additional amounts may be required to be withheld from any payments made to you in connection with the Rescission Offer, and the IRS may impose certain penalties. The current withholding rate is 24%.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our executive officers or directors make any recommendations to any person with respect to the Rescission Offer. We urge you to read this prospectus carefully and to make an independent evaluation with respect to the Rescission Offer. We also urge you to consult with your advisors before accepting or rejecting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2026, the last reported sale price of our Common Stock (as reported on the NYSE) was $55.08 per share. If you still own shares of our Common Stock acquired pursuant to the ESPP, you should obtain current price information regarding our Common Stock prior to deciding whether or not to accept the Rescission Offer. We also urge you to consult with your advisors before deciding whether or not to accept the Rescission Offer. </w:t>
      </w:r>
    </w:p>
    <w:p>
      <w:pPr>
        <w:pStyle w:val="TextBody"/>
        <w:bidi w:val="0"/>
        <w:spacing w:before="360" w:after="0"/>
        <w:jc w:val="left"/>
        <w:rPr>
          <w:rFonts w:ascii="Times New Roman" w:hAnsi="Times New Roman"/>
          <w:b/>
          <w:sz w:val="20"/>
        </w:rPr>
      </w:pPr>
      <w:r>
        <w:rPr>
          <w:rFonts w:ascii="Times New Roman" w:hAnsi="Times New Roman"/>
          <w:b/>
          <w:sz w:val="20"/>
        </w:rPr>
        <w:t xml:space="preserve">How To Accept or Reject the Rescission Offer </w:t>
      </w:r>
    </w:p>
    <w:p>
      <w:pPr>
        <w:pStyle w:val="TextBody"/>
        <w:bidi w:val="0"/>
        <w:spacing w:before="480" w:after="0"/>
        <w:jc w:val="center"/>
        <w:rPr>
          <w:rFonts w:ascii="Times New Roman" w:hAnsi="Times New Roman"/>
          <w:b/>
          <w:sz w:val="20"/>
        </w:rPr>
      </w:pPr>
      <w:r>
        <w:rPr>
          <w:rFonts w:ascii="Times New Roman" w:hAnsi="Times New Roman"/>
          <w:b/>
          <w:sz w:val="20"/>
        </w:rPr>
        <w:t xml:space="preserve">YOU ARE NOT LEGALLY REQUIRED TO ACCEPT THE RESCISSION OFFER. </w:t>
      </w:r>
    </w:p>
    <w:p>
      <w:pPr>
        <w:pStyle w:val="TextBody"/>
        <w:bidi w:val="0"/>
        <w:spacing w:before="240" w:after="0"/>
        <w:jc w:val="left"/>
        <w:rPr>
          <w:rFonts w:ascii="Times New Roman" w:hAnsi="Times New Roman"/>
          <w:b/>
          <w:i/>
          <w:sz w:val="20"/>
        </w:rPr>
      </w:pPr>
      <w:r>
        <w:rPr>
          <w:rFonts w:ascii="Times New Roman" w:hAnsi="Times New Roman"/>
          <w:b/>
          <w:i/>
          <w:sz w:val="20"/>
        </w:rPr>
        <w:t xml:space="preserve">How To Accept the Rescission Offer </w:t>
      </w:r>
    </w:p>
    <w:p>
      <w:pPr>
        <w:pStyle w:val="TextBody"/>
        <w:bidi w:val="0"/>
        <w:spacing w:before="120" w:after="0"/>
        <w:jc w:val="left"/>
        <w:rPr>
          <w:rFonts w:ascii="Times New Roman" w:hAnsi="Times New Roman"/>
          <w:i/>
          <w:sz w:val="20"/>
        </w:rPr>
      </w:pPr>
      <w:r>
        <w:rPr>
          <w:rFonts w:ascii="Times New Roman" w:hAnsi="Times New Roman"/>
          <w:i/>
          <w:sz w:val="20"/>
        </w:rPr>
        <w:t xml:space="preserve">If you are accepting the Rescission Offer with respect to shares of Common Stock you hold outside of EquatePlus, or which you have sold at a loss, see also the instructions contained in“— Accepting the Rescission Offer for Shares Held Through a Broker or Other Nominee” below. </w:t>
      </w:r>
    </w:p>
    <w:p>
      <w:pPr>
        <w:pStyle w:val="TextBody"/>
        <w:bidi w:val="0"/>
        <w:spacing w:before="240" w:after="0"/>
        <w:jc w:val="left"/>
        <w:rPr>
          <w:rFonts w:ascii="Times New Roman" w:hAnsi="Times New Roman"/>
          <w:sz w:val="20"/>
        </w:rPr>
      </w:pPr>
      <w:r>
        <w:rPr>
          <w:rFonts w:ascii="Times New Roman" w:hAnsi="Times New Roman"/>
          <w:sz w:val="20"/>
        </w:rPr>
        <w:t xml:space="preserve">Acceptance of the Rescission Offer is optional. You may accept the Rescission Offer with respect to all or a portion of your Eligible Shares. Generally, acceptance of the Rescission Offer is economically beneficial only if you have sold shares acquired during the Purchase Period at a loss, or if you currently hold shares acquired during the Purchase Period and the last reported sale price of our Common Stock (as reported on the NYSE) on the Expiration Date is less than the original purchase price for such shares under the ESPP plus an amount equal to interest on such purchase price from the date of purchase through the Expiration Date. Interest will accrue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In order to accept the Rescission Offer, you must elect to accept the Rescission Offer by logging on to your EquatePlus account at www.equateplus.com and submitting a Rescission Offer Election Form before the Expiration Date in accordance with the instructions set forth in this prospectus and included as Appendix A hereto (the “Rescission Offer Election Procedures”). </w:t>
      </w:r>
    </w:p>
    <w:p>
      <w:pPr>
        <w:pStyle w:val="TextBody"/>
        <w:bidi w:val="0"/>
        <w:spacing w:before="240" w:after="0"/>
        <w:jc w:val="left"/>
        <w:rPr>
          <w:rFonts w:ascii="Times New Roman" w:hAnsi="Times New Roman"/>
          <w:sz w:val="20"/>
        </w:rPr>
      </w:pPr>
      <w:r>
        <w:rPr>
          <w:rFonts w:ascii="Times New Roman" w:hAnsi="Times New Roman"/>
          <w:b/>
          <w:sz w:val="20"/>
        </w:rPr>
        <w:t xml:space="preserve">You should retain copies of all of your submitted Rescission Offer Election Forms including all modifications and withdrawals for your personal records. </w:t>
      </w:r>
      <w:r>
        <w:rPr>
          <w:rFonts w:ascii="Times New Roman" w:hAnsi="Times New Roman"/>
          <w:sz w:val="20"/>
        </w:rPr>
        <w:t xml:space="preserve">In addition, if you have previously transferred your Eligible Shares to a broker or nominee that is not Computershare, you should make arrangements sufficiently in advance to ensure that shares you currently hold and want us to repurchase are electronically transferred to Computershare before the Expiration Date. See the instructions contained in “— Accepting the Rescission Offer for Shares Held Through a Broker or Other Nominee” below.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Rescission Offer Election Form, you may be required to submit additional documents in order to properly accept the Rescission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accepting the Rescission Offer </w:t>
            </w:r>
            <w:r>
              <w:rPr>
                <w:rFonts w:ascii="Times New Roman" w:hAnsi="Times New Roman"/>
                <w:sz w:val="20"/>
                <w:u w:val="single"/>
              </w:rPr>
              <w:t>only</w:t>
            </w:r>
            <w:r>
              <w:rPr>
                <w:rFonts w:ascii="Times New Roman" w:hAnsi="Times New Roman"/>
                <w:sz w:val="20"/>
              </w:rPr>
              <w:t xml:space="preserve"> with regard to any Eligible Shares currently held within EquatePlus and/or the Eligible Shares sold at a loss within EquatePlus, you will not need to submit any additional documentation (apart from the Rescission Offer Election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accepting the Rescission Offer with respect to any Eligible Shares that were transferred from EquatePlus to your individual brokerage account </w:t>
            </w:r>
            <w:r>
              <w:rPr>
                <w:rFonts w:ascii="Times New Roman" w:hAnsi="Times New Roman"/>
                <w:sz w:val="20"/>
                <w:u w:val="single"/>
              </w:rPr>
              <w:t>and which you currently hold</w:t>
            </w:r>
            <w:r>
              <w:rPr>
                <w:rFonts w:ascii="Times New Roman" w:hAnsi="Times New Roman"/>
                <w:sz w:val="20"/>
              </w:rPr>
              <w:t xml:space="preserve">, in addition to properly submitting a Rescission Offer Election Form, you must also submit, in accordance with the instructions set forth in the Rescission Offer Election Procedures, reasonably satisfactory proof of share ownership prior to the commencement of the Rescission Offer. See “— Accepting the Rescission Offer for Shares Held Through a Broker or Other Nominee”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want to accept the Rescission Offer with respect to any Eligible Shares that were transferred from EquatePlus to your individual brokerage account </w:t>
            </w:r>
            <w:r>
              <w:rPr>
                <w:rFonts w:ascii="Times New Roman" w:hAnsi="Times New Roman"/>
                <w:sz w:val="20"/>
                <w:u w:val="single"/>
              </w:rPr>
              <w:t>and which you since have sold at a loss</w:t>
            </w:r>
            <w:r>
              <w:rPr>
                <w:rFonts w:ascii="Times New Roman" w:hAnsi="Times New Roman"/>
                <w:sz w:val="20"/>
              </w:rPr>
              <w:t xml:space="preserve">, in addition to properly submitting a Rescission Offer Election Form, you must also submit, in accordance with the instructions set forth in the Rescission Offer Election Procedures, reasonably satisfactory proof of a bona fide sale transaction (including proof of the sale price) and proof of share ownership. See “— Accepting the Rescission Offer for Shares Held Through a Broker or Other Nominee”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PROPERLY COMPLETED RESCISSION OFFER ELECTION FORM (TOGETHER WITH ANY OTHER REQUIRED DOCUMENTS) MUST BE SUBMITTED BEFORE THE EXPIRATION DATE. OTHERWISE, YOU WILL BE DEEMED TO HAVE REJECTED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YOU ARE ACCEPTING THE RESCISSION OFFER WITH RESPECT TO ELIGIBLE SHARES YOU CURRENTLY HOLD OUTSIDE OF EQUATEPLUS, COMPUTERSHARE MUST RECEIVE DELIVERY OF THOSE SHARES BEFORE THE EXPIRATION DATE, OR YOU WILL BE DEEMED TO HAVE REJECTED THE RESCISSION OFFER WITH RESPECT TO THOSE SHARES. </w:t>
      </w:r>
    </w:p>
    <w:p>
      <w:pPr>
        <w:pStyle w:val="TextBody"/>
        <w:bidi w:val="0"/>
        <w:spacing w:before="240" w:after="0"/>
        <w:jc w:val="left"/>
        <w:rPr>
          <w:rFonts w:ascii="Times New Roman" w:hAnsi="Times New Roman"/>
          <w:sz w:val="20"/>
        </w:rPr>
      </w:pPr>
      <w:r>
        <w:rPr>
          <w:rFonts w:ascii="Times New Roman" w:hAnsi="Times New Roman"/>
          <w:sz w:val="20"/>
        </w:rPr>
        <w:t xml:space="preserve">IF YOU HAVE PREVIOUSLY SOLD ELIGIBLE SHARES AT A LOSS OUTSIDE OF EQUATEPLUS, YOU MUST SUBMIT WITH YOUR RESCISSION OFFER ELECTION FORM PROOF REASONABLY SATISFACTORY TO US EVIDENCING THE BONA FIDE SALE OF THOSE SHARES TO A THIRD PARTY, INCLUDING THE SALE PRICE FOR THOSE SHARES AND PROOF OF SHARE OWNERSHIP, OR YOU WILL BE DEEMED TO HAVE REJECTED THE RESCISSION OFFER WITH RESPECT TO THOSE SHARES. </w:t>
      </w:r>
    </w:p>
    <w:p>
      <w:pPr>
        <w:pStyle w:val="TextBody"/>
        <w:bidi w:val="0"/>
        <w:spacing w:before="240" w:after="0"/>
        <w:jc w:val="left"/>
        <w:rPr>
          <w:rFonts w:ascii="Times New Roman" w:hAnsi="Times New Roman"/>
          <w:sz w:val="20"/>
        </w:rPr>
      </w:pPr>
      <w:r>
        <w:rPr>
          <w:rFonts w:ascii="Times New Roman" w:hAnsi="Times New Roman"/>
          <w:sz w:val="20"/>
        </w:rPr>
        <w:t xml:space="preserve">WE WILL, IN OUR SOLE DISCRETION, DETERMINE WHETHER YOUR RESCISSION OFFER ELECTION FORM HAS BEEN PROPERLY SUBMITTED AND TIMELY RECEIVED, WHETHER YOUR SHARES HAVE BEEN PROPERLY DELIVERED TO COMPUTERSHARE, WHETHER ANY REQUIRED PROOF IS REASONABLY SATISFACTORY AND WHETHER YOU ARE ELIGIBLE TO ACCEPT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All determinations with respect to the Rescission Offer Election Form and the Rescission Offer (including issues relating to the timeliness or effectiveness of any election and the sufficiency of any documentation) will be made by us, which determinations shall be final and binding. We reserve the right to waive any defects, irregularities or conditions of delivery as to particular shares. A waiver of any defect or irregularity with respect to the delivery of one share shall not constitute a waiver of the same or any other defect or irregularity with respect to the delivery of any other shares except to the extent we may otherwise so provide.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regarding the terms of the Rescission Offer, please contact SOS at (615) 994-8665 or via email at CBIZ_RescissionOffer@sos-team.com.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Accepting the Rescission Offer for Shares Held Through a Broker or Other Nominee </w:t>
      </w:r>
    </w:p>
    <w:p>
      <w:pPr>
        <w:pStyle w:val="TextBody"/>
        <w:bidi w:val="0"/>
        <w:spacing w:before="120" w:after="0"/>
        <w:jc w:val="left"/>
        <w:rPr>
          <w:rFonts w:ascii="Times New Roman" w:hAnsi="Times New Roman"/>
          <w:sz w:val="20"/>
        </w:rPr>
      </w:pPr>
      <w:r>
        <w:rPr>
          <w:rFonts w:ascii="Times New Roman" w:hAnsi="Times New Roman"/>
          <w:sz w:val="20"/>
        </w:rPr>
        <w:t xml:space="preserve">If you are delivering any Eligible Shares held outside of EquatePlus, through a broker or nominee that is not Computershare, you will be required to bear your own costs for delivering any shares and for acceptance, and withdrawal from acceptance, of the Rescission Offer. See below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Certain Eligible Shares may have been registered in the name of The Depository Trust Company or its nominee, which we refer to in this prospectus as “DTC.” DTC facilitates the clearance and settlement of transactions through electronic book-entry changes in accounts of DTC participants. DTC participants include securities brokers and dealers, banks, trust companies, clearing corporations and other organizations. DTC’s DRS provides participants with the ability to make electronic transfers to and from Computershare, as CBIZ’s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If you acquired, and still hold, any Eligible Shares through a broker or nominee that is not Computershare and you wish to accept the Rescission Offer with respect to those shares, you must, before the Expiration Date, (i) properly submit the Rescission Offer Election Form, along with supporting documentation and (ii) contact your broker or nominee promptly and instruct it to place your Eligible Shares in your name at Computershare via the DRS. Your properly completed Rescission Offer Election Form (together with any other required documents) must be submitted before the Expiration Date. Otherwise you will be deemed to have rejected the Rescission Offer. Because it may take your broker or other nominee up to several weeks to deliver your shares to Computershare, you should contact your broker or other nominee as soon as practicable. You will have to pay brokerage or transfer fees with respect to shares of Common Stock transferred to Computershare. You should consult your broker to determine whether any charges will apply. (As indicated above, you will be required to bear your own costs for delivering any shares in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have sold any Eligible Shares through a broker or nominee that is not Computershare at a loss to a third party in a bona fide transaction, you will need to submit, in accordance with the instructions set forth in the Rescission Offer Election Procedures, proof reasonably satisfactory to CBIZ evidencing the sale price and amount of such shares. </w:t>
      </w:r>
      <w:r>
        <w:rPr>
          <w:rFonts w:ascii="Times New Roman" w:hAnsi="Times New Roman"/>
          <w:i/>
          <w:sz w:val="20"/>
        </w:rPr>
        <w:t>Satisfactory proof may take the form of a receipt or transaction or confirmation statement from the broker, dealer, or other person conducting the sale, and may include confirmation of shares sold on official broker letterhead that details the sale price, IRS Form 1099-B showing the sales proceeds or transactional statements on your broker’s letterhead. The sale price may have been paid in either cash or property. If the sale price was paid in property, the price will be deemed to be the fair market value of such property at the time of sale.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continue to hold any Eligible Shares through a broker or nominee that is not Computershare, you will need to submit, in accordance with the instructions set forth in the Rescission Offer Election Procedures, proof reasonably satisfactory to CBIZ evidencing that you held such shares prior to the commencement of the Rescission Offer. </w:t>
      </w:r>
      <w:r>
        <w:rPr>
          <w:rFonts w:ascii="Times New Roman" w:hAnsi="Times New Roman"/>
          <w:i/>
          <w:sz w:val="20"/>
        </w:rPr>
        <w:t xml:space="preserve">Satisfactory proof may take the form of a receipt or transaction or confirmation statement from the broker, dealer, or other person showing that the shares were held on your behalf prior to the commencement of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the proof of a bona fide sale (including proof linking shares sold through a separate broker to your original acquisition of such shares through Computershare during the Purchase Period) or share ownership is not reasonably satisfactory to CBIZ, in its sole discretion, you will be deemed to have rejected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regarding the terms of the Rescission Offer, please contact SOS at (615) 994-8665 or via email at CBIZ_RescissionOffer@sos-team.com.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How To Reject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You do not need to take any action to initially reject the Rescission Offer. If you change your decision and want to reject the Rescission Offer after having submitted the Rescission Offer Election Form, however, you must properly withdraw your Rescission Offer Election Form as outlined in the Rescission Offer Election Procedures before the Expiration Date.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retain copies of all of your submitted Rescission Offer Election Forms including all modifications and withdrawals for your personal records. </w:t>
      </w:r>
    </w:p>
    <w:p>
      <w:pPr>
        <w:pStyle w:val="TextBody"/>
        <w:bidi w:val="0"/>
        <w:spacing w:before="240" w:after="0"/>
        <w:jc w:val="left"/>
        <w:rPr>
          <w:rFonts w:ascii="Times New Roman" w:hAnsi="Times New Roman"/>
          <w:sz w:val="20"/>
        </w:rPr>
      </w:pPr>
      <w:r>
        <w:rPr>
          <w:rFonts w:ascii="Times New Roman" w:hAnsi="Times New Roman"/>
          <w:sz w:val="20"/>
        </w:rPr>
        <w:t xml:space="preserve">IF YOU HAVE ALREADY SUBMITTED A RESCISSION OFFER ELECTION FORM AND WISH TO CHANGE YOUR ELECTION, YOU MUST DO SO BEFORE THE EXPIRATION DATE. OTHERWISE, YOU WILL BE DEEMED TO HAVE ACCEPTED THE RESCISSION OFFER PURSUANT TO THE LAST RESCISSION OFFER ELECTION FORM THAT YOU SUBMITTED. </w:t>
      </w:r>
    </w:p>
    <w:p>
      <w:pPr>
        <w:pStyle w:val="TextBody"/>
        <w:bidi w:val="0"/>
        <w:spacing w:before="240" w:after="0"/>
        <w:jc w:val="left"/>
        <w:rPr>
          <w:rFonts w:ascii="Times New Roman" w:hAnsi="Times New Roman"/>
          <w:sz w:val="20"/>
        </w:rPr>
      </w:pPr>
      <w:r>
        <w:rPr>
          <w:rFonts w:ascii="Times New Roman" w:hAnsi="Times New Roman"/>
          <w:sz w:val="20"/>
        </w:rPr>
        <w:t xml:space="preserve">WE WILL, IN OUR SOLE DISCRETION, DETERMINE WHETHER WITHDRAWALS OF PREVIOUSLY SUBMITTED RESCISSION OFFER ELECTION FORMS HAVE BEEN PROPERLY SUBMITTED AND TIMELY RECEIVED AND WHETHER YOU ARE ELIGIBLE TO WITHDRAW YOUR ACCEPTANCE OF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PROPERLY COMPLETE ALL DELIVERIES AND OTHER ACTIONS REQUIRED TO VALIDLY ACCEPT THE RESCISSION OFFER BEFORE THE EXPIRATION DATE, YOU WILL BE DEEMED TO HAVE REJECTED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All determinations with respect to a withdrawal request and the Rescission Offer (including issues relating to the timeliness or effectiveness of any election and the sufficiency of any documentation) will be made by us, which determinations shall be final and binding. We reserve the right to waive any defects, irregularities or conditions of withdrawal as to particular shares. A waiver of any defect or irregularity with respect to the withdrawal of one share shall not constitute a waiver of the same or any other defect or irregularity with respect to the withdrawal of any other shares except to the extent we may otherwise so provide. </w:t>
      </w:r>
    </w:p>
    <w:p>
      <w:pPr>
        <w:pStyle w:val="TextBody"/>
        <w:bidi w:val="0"/>
        <w:spacing w:before="240" w:after="0"/>
        <w:jc w:val="left"/>
        <w:rPr>
          <w:rFonts w:ascii="Times New Roman" w:hAnsi="Times New Roman"/>
          <w:sz w:val="20"/>
        </w:rPr>
      </w:pPr>
      <w:r>
        <w:rPr>
          <w:rFonts w:ascii="Times New Roman" w:hAnsi="Times New Roman"/>
          <w:sz w:val="20"/>
        </w:rPr>
        <w:t xml:space="preserve">If we receive a withdrawal request before the Expiration Date and you have previously delivered shares to Computershare, we will not charge any expense of returning those shares to you (your broker may, however, charge a fee to take any shares back from Computershare). </w:t>
      </w:r>
    </w:p>
    <w:p>
      <w:pPr>
        <w:pStyle w:val="TextBody"/>
        <w:bidi w:val="0"/>
        <w:spacing w:before="240" w:after="0"/>
        <w:jc w:val="left"/>
        <w:rPr>
          <w:rFonts w:ascii="Times New Roman" w:hAnsi="Times New Roman"/>
          <w:sz w:val="20"/>
        </w:rPr>
      </w:pPr>
      <w:r>
        <w:rPr>
          <w:rFonts w:ascii="Times New Roman" w:hAnsi="Times New Roman"/>
          <w:sz w:val="20"/>
        </w:rPr>
        <w:t xml:space="preserve">ACCEPTANCE OR REJECTION OF THE RESCISSION OFFER MAY NOT TERMINATE YOUR RIGHT TO BRING A CIVIL ACTION AGAINST US FOR FAILURE TO REGISTER THE SHARES ACQUIRED PURSUANT TO THE ESPP UNDER FEDERAL SECURITIES LAWS. HOWEVER, FEDERAL LAW DOES PROVIDE THAT YOU MAY LOSE ANY RESCISSION RIGHTS UNDER FEDERAL SECURITIES LAWS ONE YEAR FROM THE DATE OF ACQUISITION OF SUCH SHARES AND THREE YEARS FROM THE DATE SUCH SHARES WERE BONA FIDE OFFERED TO THE PUBLIC. </w:t>
      </w:r>
    </w:p>
    <w:p>
      <w:pPr>
        <w:pStyle w:val="TextBody"/>
        <w:bidi w:val="0"/>
        <w:spacing w:before="360" w:after="0"/>
        <w:jc w:val="left"/>
        <w:rPr>
          <w:rFonts w:ascii="Times New Roman" w:hAnsi="Times New Roman"/>
          <w:b/>
          <w:sz w:val="20"/>
        </w:rPr>
      </w:pPr>
      <w:r>
        <w:rPr>
          <w:rFonts w:ascii="Times New Roman" w:hAnsi="Times New Roman"/>
          <w:b/>
          <w:sz w:val="20"/>
        </w:rPr>
        <w:t xml:space="preserve">Funding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have sufficient available liquidity to pay for the purchase of any shares of Common Stock that may be delivered to us as a result of the Rescission Offer. </w:t>
      </w:r>
    </w:p>
    <w:p>
      <w:pPr>
        <w:pStyle w:val="TextBody"/>
        <w:bidi w:val="0"/>
        <w:spacing w:before="360" w:after="0"/>
        <w:jc w:val="left"/>
        <w:rPr>
          <w:rFonts w:ascii="Times New Roman" w:hAnsi="Times New Roman"/>
          <w:b/>
          <w:sz w:val="20"/>
        </w:rPr>
      </w:pPr>
      <w:r>
        <w:rPr>
          <w:rFonts w:ascii="Times New Roman" w:hAnsi="Times New Roman"/>
          <w:b/>
          <w:sz w:val="20"/>
        </w:rPr>
        <w:t xml:space="preserve">Questions about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submitting a Rescission Offer Election Form, rejecting the Rescission Offer, EquatePlus, your CBIZ share balance or your purchase or sale information, please contact Computershare at 1-866-697-3122 (toll free) or 1-617-231-2972 (international).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have any questions regarding the terms of the Rescission Offer, please contact SOS at (615) 994-8665 or via email at CBIZ_RescissionOffer@sos-team.com.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We intend to account for amounts paid by us pursuant to the Rescission Offer by recording the fair market value of the shares of Common Stock purchased by us as a charge to treasury stock based on the quoted market price of our Common Stock at the close of business on the Expiration Date. Any amounts paid by us pursuant to the Rescission Offer in excess of the fair market value, as well as other costs directly related to the Rescission Offer, of such shares purchased will be recorded as an expense in our consolidated statement of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33368_8"/>
      <w:bookmarkEnd w:id="1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no proceeds from the Rescission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33368_9"/>
      <w:bookmarkEnd w:id="11"/>
      <w:r>
        <w:rPr>
          <w:rFonts w:ascii="Times New Roman" w:hAnsi="Times New Roman"/>
          <w:b/>
          <w:sz w:val="20"/>
        </w:rPr>
        <w:t xml:space="preserve">CERTAIN U.S. FEDERAL INCOME TAX CONSEQUENCES </w:t>
      </w:r>
    </w:p>
    <w:p>
      <w:pPr>
        <w:pStyle w:val="TextBody"/>
        <w:bidi w:val="0"/>
        <w:spacing w:before="0" w:after="0"/>
        <w:jc w:val="center"/>
        <w:rPr>
          <w:rFonts w:ascii="Times New Roman" w:hAnsi="Times New Roman"/>
          <w:b/>
          <w:sz w:val="20"/>
        </w:rPr>
      </w:pPr>
      <w:r>
        <w:rPr>
          <w:rFonts w:ascii="Times New Roman" w:hAnsi="Times New Roman"/>
          <w:b/>
          <w:sz w:val="20"/>
        </w:rPr>
        <w:t xml:space="preserve">RELATING TO THE ESPP AND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certain U.S. federal income tax consequences relating to (1) the purchase of Eligible Shares under the ESPP between October 16, 2023 and April 15, 2026, and (2) the amounts received in connection with Eligible Shares pursuant to the Rescission Offer. This discussion is for general information purposes only and does not purport to be a complete analysis of all potential tax consequences. You should consult your own tax advisor regarding the application of U.S. federal, state, local and foreign tax laws to your particular situation. </w:t>
      </w:r>
    </w:p>
    <w:p>
      <w:pPr>
        <w:pStyle w:val="TextBody"/>
        <w:bidi w:val="0"/>
        <w:spacing w:before="360" w:after="0"/>
        <w:jc w:val="left"/>
        <w:rPr>
          <w:rFonts w:ascii="Times New Roman" w:hAnsi="Times New Roman"/>
          <w:b/>
          <w:sz w:val="20"/>
        </w:rPr>
      </w:pPr>
      <w:r>
        <w:rPr>
          <w:rFonts w:ascii="Times New Roman" w:hAnsi="Times New Roman"/>
          <w:b/>
          <w:sz w:val="20"/>
        </w:rPr>
        <w:t xml:space="preserve">ESPP Share Purchases </w:t>
      </w:r>
    </w:p>
    <w:p>
      <w:pPr>
        <w:pStyle w:val="TextBody"/>
        <w:bidi w:val="0"/>
        <w:spacing w:before="120" w:after="0"/>
        <w:jc w:val="left"/>
        <w:rPr>
          <w:rFonts w:ascii="Times New Roman" w:hAnsi="Times New Roman"/>
          <w:sz w:val="20"/>
        </w:rPr>
      </w:pPr>
      <w:r>
        <w:rPr>
          <w:rFonts w:ascii="Times New Roman" w:hAnsi="Times New Roman"/>
          <w:sz w:val="20"/>
        </w:rPr>
        <w:t>CBIZ has recently determined that the ESPP did not satisfy the requirements for qualification under Section 423 of the Internal Revenue Code of 1986, as amended (the “Code”) between October 16, 2023 and April 15, 2026 (the “Disqualification Period”), as originally intended. Thus, the tax consequences with respect to the Eligible Shares purchased under the ESPP during the Disqualification Period differ from those expected by CBIZ, as described in the Plan Summary and Prospectus previously made available to you</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 employee stock purchase plan that qualifies under Section 423 of the Code, no income is recognized in respect of the discounted purchase price at the time of the Share purchase. However, because the ESPP did not qualify under Section 423 of the Code during the Disqualification Period, ordinary compensation income should have been recognized by you at the time of any purchase during the Disqualification Period equal to the excess of the fair market value of the Eligible Shares acquired on the applicable purchase date over the purchase price paid for such Eligible Shares (i.e., the discount received). This amount should have been subject to tax withholding on the applicable purchase date and included on your Form W-2 as wages subject to income and employment taxes for the relevant taxable years. The tax treatment of any subsequent sale of the Eligible Shares by you may also be incorrect. You may be required to file amended federal and state tax returns for the relevant tax years. </w:t>
      </w:r>
    </w:p>
    <w:p>
      <w:pPr>
        <w:pStyle w:val="TextBody"/>
        <w:bidi w:val="0"/>
        <w:spacing w:before="240" w:after="0"/>
        <w:jc w:val="left"/>
        <w:rPr>
          <w:rFonts w:ascii="Times New Roman" w:hAnsi="Times New Roman"/>
          <w:sz w:val="20"/>
        </w:rPr>
      </w:pPr>
      <w:r>
        <w:rPr>
          <w:rFonts w:ascii="Times New Roman" w:hAnsi="Times New Roman"/>
          <w:sz w:val="20"/>
        </w:rPr>
        <w:t xml:space="preserve">CBIZ intends to take corrective actions with respect to the tax reporting and withholding inaccuracies during the relevant time periods applicable to each participant. This will include corrected W-2 filings for participants for relevant tax years, assistance with filing amended tax returns to the extent necessary, and making certain compensatory payments to participants to account for this tax impact on an estimated basis. Independent of the Rescission Offer, you will be provided with additional information about these corrective actions. </w:t>
      </w:r>
    </w:p>
    <w:p>
      <w:pPr>
        <w:pStyle w:val="TextBody"/>
        <w:bidi w:val="0"/>
        <w:spacing w:before="240" w:after="0"/>
        <w:jc w:val="left"/>
        <w:rPr>
          <w:rFonts w:ascii="Times New Roman" w:hAnsi="Times New Roman"/>
          <w:b/>
          <w:sz w:val="20"/>
        </w:rPr>
      </w:pPr>
      <w:r>
        <w:rPr>
          <w:rFonts w:ascii="Times New Roman" w:hAnsi="Times New Roman"/>
          <w:b/>
          <w:sz w:val="20"/>
        </w:rPr>
        <w:t xml:space="preserve">Note that the foregoing tax consequences do not depend on whether you are eligible for the Rescission Offer or elect to participate in the Rescission Offer.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Repurchases Pursuant to the Rescission Offer </w:t>
      </w:r>
    </w:p>
    <w:p>
      <w:pPr>
        <w:pStyle w:val="TextBody"/>
        <w:bidi w:val="0"/>
        <w:spacing w:before="120" w:after="0"/>
        <w:jc w:val="left"/>
        <w:rPr>
          <w:rFonts w:ascii="Times New Roman" w:hAnsi="Times New Roman"/>
          <w:sz w:val="20"/>
        </w:rPr>
      </w:pPr>
      <w:r>
        <w:rPr>
          <w:rFonts w:ascii="Times New Roman" w:hAnsi="Times New Roman"/>
          <w:sz w:val="20"/>
        </w:rPr>
        <w:t xml:space="preserve">If you participate in the Rescission Offer and receive a payment as described in this prospectus, the amount you receive will be in excess of the fair market value of the Eligible Shares on the Expiration Date. While the U.S. federal income tax treatment of this amount is not certain, CBIZ intends to treat this amount as follows for purposes of its tax reporting and withholding obligations: If you are selling your Eligible Shares pursuant to the Rescission Offer (i) the portion of the amount you receive that is equal to the fair market value of the Eligible Shares will be treated as proceeds received from the disposition of a capital asset, and (ii) the portion of the amount you receive that is in excess of the fair market value of the Eligible Shares at the time of payment will be treated as ordinary compensation income that is subject to tax reporting and withholding for income and employment taxes. If you have previously sold your Eligible Shares and are entitled to payment in the Rescission Offer, the entire amount will be treated as ordinary compensation income that is subject to tax reporting and withholding for income and employment taxes. CBIZ intends to make additional compensatory payments to participants to account for this tax impact on an estimated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may be other U.S. federal, state, local or foreign tax consequences relating to the Eligible Shares and the Rescission Offer that are not discussed above, and it is possible that the Internal Revenue Service will take a position that differs from that described above. You are urged to consult your own tax advisor regarding the specific tax consequences applicable to you, including the applicability and effect of U.S. federal, state, local and foreign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33368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in this Rescission Offer and certain other legal matters in connection with this Rescission Offer will be passed upon for us by Weil, Gotshal &amp; Manges LLP, New York, New York. </w:t>
      </w:r>
    </w:p>
    <w:p>
      <w:pPr>
        <w:pStyle w:val="TextBody"/>
        <w:bidi w:val="0"/>
        <w:spacing w:before="480" w:after="0"/>
        <w:jc w:val="center"/>
        <w:rPr>
          <w:rFonts w:ascii="Times New Roman" w:hAnsi="Times New Roman"/>
          <w:b/>
          <w:sz w:val="20"/>
        </w:rPr>
      </w:pPr>
      <w:bookmarkStart w:id="13" w:name="toc33368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CBIZ, Inc. at December 31, 2025 and 2024, and for each of the years in the three 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audit report on the effectiveness of internal control over financial reporting as of December 31, 2025, expresses an opinion that CBIZ, Inc. did not maintain effective internal control over financial reporting as of December 31, 2025 because of the effect of material weaknesses on the achievement of the objectives of the control criteria and contains an explanatory paragraph that states there were material weaknesses related to design deficiencies in controls over (i) the administration of the employee stock purchase plan, and (ii) the accounting for the reassignment of goodwill among reporting units.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4" w:name="toc33368_12"/>
      <w:bookmarkEnd w:id="14"/>
      <w:r>
        <w:rPr>
          <w:rFonts w:ascii="Times New Roman" w:hAnsi="Times New Roman"/>
          <w:b/>
          <w:sz w:val="20"/>
        </w:rPr>
        <w:t xml:space="preserve">Appendix A </w:t>
      </w:r>
    </w:p>
    <w:p>
      <w:pPr>
        <w:pStyle w:val="TextBody"/>
        <w:bidi w:val="0"/>
        <w:spacing w:before="120" w:after="0"/>
        <w:jc w:val="left"/>
        <w:rPr>
          <w:rFonts w:ascii="Times New Roman" w:hAnsi="Times New Roman"/>
          <w:sz w:val="20"/>
        </w:rPr>
      </w:pPr>
      <w:r>
        <w:rPr>
          <w:rFonts w:ascii="Times New Roman" w:hAnsi="Times New Roman"/>
          <w:sz w:val="20"/>
        </w:rPr>
        <w:t xml:space="preserve">Dear [●], </w:t>
      </w:r>
    </w:p>
    <w:p>
      <w:pPr>
        <w:pStyle w:val="TextBody"/>
        <w:bidi w:val="0"/>
        <w:spacing w:before="240" w:after="0"/>
        <w:jc w:val="left"/>
        <w:rPr>
          <w:rFonts w:ascii="Times New Roman" w:hAnsi="Times New Roman"/>
          <w:sz w:val="20"/>
        </w:rPr>
      </w:pPr>
      <w:r>
        <w:rPr>
          <w:rFonts w:ascii="Times New Roman" w:hAnsi="Times New Roman"/>
          <w:sz w:val="20"/>
        </w:rPr>
        <w:t xml:space="preserve">Our records indicate that you purchased shares of common stock of CBIZ, Inc. (“CBIZ” or the “Company”) pursuant to the Company’s 2007 Amended and Restated Employee Stock Purchase Plan (as amended and restated from time to time) between </w:t>
      </w:r>
      <w:r>
        <w:rPr>
          <w:rFonts w:ascii="Times New Roman" w:hAnsi="Times New Roman"/>
          <w:b/>
          <w:sz w:val="20"/>
        </w:rPr>
        <w:t>October</w:t>
      </w:r>
      <w:r>
        <w:rPr>
          <w:rFonts w:ascii="Times New Roman" w:hAnsi="Times New Roman"/>
          <w:sz w:val="20"/>
        </w:rPr>
        <w:t> </w:t>
      </w:r>
      <w:r>
        <w:rPr>
          <w:rFonts w:ascii="Times New Roman" w:hAnsi="Times New Roman"/>
          <w:b/>
          <w:sz w:val="20"/>
        </w:rPr>
        <w:t>16, 2023 to April</w:t>
      </w:r>
      <w:r>
        <w:rPr>
          <w:rFonts w:ascii="Times New Roman" w:hAnsi="Times New Roman"/>
          <w:sz w:val="20"/>
        </w:rPr>
        <w:t> </w:t>
      </w:r>
      <w:r>
        <w:rPr>
          <w:rFonts w:ascii="Times New Roman" w:hAnsi="Times New Roman"/>
          <w:b/>
          <w:sz w:val="20"/>
        </w:rPr>
        <w:t>15, 2026</w:t>
      </w:r>
      <w:r>
        <w:rPr>
          <w:rFonts w:ascii="Times New Roman" w:hAnsi="Times New Roman"/>
          <w:sz w:val="20"/>
        </w:rPr>
        <w:t xml:space="preserve"> (the “Purchase Period”). As a result, you may be able to participate in the Company’s rescission offer (the “Rescission Offer”), which is being conducted pursuant to the prospectus dated August 6, 2026 (the “Prospectus”), which you can access [here]. </w:t>
      </w:r>
    </w:p>
    <w:p>
      <w:pPr>
        <w:pStyle w:val="TextBody"/>
        <w:bidi w:val="0"/>
        <w:spacing w:before="360" w:after="0"/>
        <w:jc w:val="left"/>
        <w:rPr>
          <w:rFonts w:ascii="Times New Roman" w:hAnsi="Times New Roman"/>
          <w:b/>
          <w:sz w:val="20"/>
        </w:rPr>
      </w:pPr>
      <w:r>
        <w:rPr>
          <w:rFonts w:ascii="Times New Roman" w:hAnsi="Times New Roman"/>
          <w:b/>
          <w:sz w:val="20"/>
        </w:rPr>
        <w:t xml:space="preserve">Before making your election and deciding whether to accept or reject the Rescission Offer, we urge you to review the terms of the Rescission Offer outlined in the Prospectus carefully. You are not required to accept or reject the Rescission Offer. You should also consult with your tax advisors regarding the tax consequences (including the application of any state, local, non-U.S. income and other tax laws) of accepting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Prospectus, this platform will provide information regarding how to elect to participate in the Rescission Offer. </w:t>
      </w:r>
    </w:p>
    <w:p>
      <w:pPr>
        <w:pStyle w:val="TextBody"/>
        <w:bidi w:val="0"/>
        <w:spacing w:before="240" w:after="0"/>
        <w:jc w:val="left"/>
        <w:rPr>
          <w:rFonts w:ascii="Times New Roman" w:hAnsi="Times New Roman"/>
          <w:sz w:val="20"/>
        </w:rPr>
      </w:pPr>
      <w:r>
        <w:rPr>
          <w:rFonts w:ascii="Times New Roman" w:hAnsi="Times New Roman"/>
          <w:b/>
          <w:sz w:val="20"/>
        </w:rPr>
        <w:t>The Rescission Offer will expire at 5:00 p.m., Eastern Time, on September</w:t>
      </w:r>
      <w:r>
        <w:rPr>
          <w:rFonts w:ascii="Times New Roman" w:hAnsi="Times New Roman"/>
          <w:sz w:val="20"/>
        </w:rPr>
        <w:t> </w:t>
      </w:r>
      <w:r>
        <w:rPr>
          <w:rFonts w:ascii="Times New Roman" w:hAnsi="Times New Roman"/>
          <w:b/>
          <w:sz w:val="20"/>
        </w:rPr>
        <w:t>8, 2026 (the “Expiration Date”).</w:t>
      </w:r>
      <w:r>
        <w:rPr>
          <w:rFonts w:ascii="Times New Roman" w:hAnsi="Times New Roman"/>
          <w:sz w:val="20"/>
        </w:rPr>
        <w:t xml:space="preserve"> After the Expiration Date, you will not be able to submit an election to participate in the Rescission Offer or change your previous elections. At any time before the Expiration Date, you may withdraw or change your election. Go to </w:t>
      </w:r>
      <w:r>
        <w:rPr>
          <w:rFonts w:ascii="Times New Roman" w:hAnsi="Times New Roman"/>
          <w:b/>
          <w:sz w:val="20"/>
        </w:rPr>
        <w:t>Library</w:t>
      </w:r>
      <w:r>
        <w:rPr>
          <w:rFonts w:ascii="Times New Roman" w:hAnsi="Times New Roman"/>
          <w:sz w:val="20"/>
        </w:rPr>
        <w:t xml:space="preserve"> &gt; </w:t>
      </w:r>
      <w:r>
        <w:rPr>
          <w:rFonts w:ascii="Times New Roman" w:hAnsi="Times New Roman"/>
          <w:b/>
          <w:sz w:val="20"/>
        </w:rPr>
        <w:t>Tasks</w:t>
      </w:r>
      <w:r>
        <w:rPr>
          <w:rFonts w:ascii="Times New Roman" w:hAnsi="Times New Roman"/>
          <w:sz w:val="20"/>
        </w:rPr>
        <w:t xml:space="preserve"> &gt; </w:t>
      </w:r>
      <w:r>
        <w:rPr>
          <w:rFonts w:ascii="Times New Roman" w:hAnsi="Times New Roman"/>
          <w:b/>
          <w:sz w:val="20"/>
        </w:rPr>
        <w:t>Elections</w:t>
      </w:r>
      <w:r>
        <w:rPr>
          <w:rFonts w:ascii="Times New Roman" w:hAnsi="Times New Roman"/>
          <w:sz w:val="20"/>
        </w:rPr>
        <w:t xml:space="preserve"> and select </w:t>
      </w:r>
      <w:r>
        <w:rPr>
          <w:rFonts w:ascii="Times New Roman" w:hAnsi="Times New Roman"/>
          <w:b/>
          <w:sz w:val="20"/>
        </w:rPr>
        <w:t>Delete</w:t>
      </w:r>
      <w:r>
        <w:rPr>
          <w:rFonts w:ascii="Times New Roman" w:hAnsi="Times New Roman"/>
          <w:sz w:val="20"/>
        </w:rPr>
        <w:t xml:space="preserve"> to withdraw your election or select </w:t>
      </w:r>
      <w:r>
        <w:rPr>
          <w:rFonts w:ascii="Times New Roman" w:hAnsi="Times New Roman"/>
          <w:b/>
          <w:sz w:val="20"/>
        </w:rPr>
        <w:t>Edit</w:t>
      </w:r>
      <w:r>
        <w:rPr>
          <w:rFonts w:ascii="Times New Roman" w:hAnsi="Times New Roman"/>
          <w:sz w:val="20"/>
        </w:rPr>
        <w:t xml:space="preserve"> to change your election. </w:t>
      </w:r>
    </w:p>
    <w:p>
      <w:pPr>
        <w:pStyle w:val="TextBody"/>
        <w:bidi w:val="0"/>
        <w:spacing w:before="240" w:after="0"/>
        <w:jc w:val="left"/>
        <w:rPr>
          <w:rFonts w:ascii="Times New Roman" w:hAnsi="Times New Roman"/>
          <w:sz w:val="20"/>
        </w:rPr>
      </w:pPr>
      <w:r>
        <w:rPr>
          <w:rFonts w:ascii="Times New Roman" w:hAnsi="Times New Roman"/>
          <w:b/>
          <w:sz w:val="20"/>
        </w:rPr>
        <w:t xml:space="preserve">Please review the “Delete” election window carefully, as it will delete ALL elections. </w:t>
      </w:r>
      <w:r>
        <w:rPr>
          <w:rFonts w:ascii="Times New Roman" w:hAnsi="Times New Roman"/>
          <w:sz w:val="20"/>
        </w:rPr>
        <w:t xml:space="preserve">If you submit elections under both Category 1 and Category 2 and then delete your elections, both elections will be withdrawn. If you intend to withdraw only one election, you will need to re-enter and re-submit the election you wish to keep.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on how to submit an election, rejecting the Rescission Offer, EquatePlus, your CBIZ share balance or your purchase or sale information, please contact Computershare at 1-866-697-3122 (Toll-free) or 1-617-231-2972 (International).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regarding the terms of the Rescission Offer, please contact SOS at 1-615-994-8665 or via email at CBIZ_RescissionOffer@sos-team.com.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regarding placing any eligible shares in your name at Computershare via the Direct Registration System (DRS), please contact your broker or other nominee.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Options </w:t>
      </w:r>
    </w:p>
    <w:p>
      <w:pPr>
        <w:pStyle w:val="TextBody"/>
        <w:bidi w:val="0"/>
        <w:spacing w:before="120" w:after="0"/>
        <w:jc w:val="left"/>
        <w:rPr>
          <w:rFonts w:ascii="Times New Roman" w:hAnsi="Times New Roman"/>
          <w:sz w:val="20"/>
        </w:rPr>
      </w:pPr>
      <w:r>
        <w:rPr>
          <w:rFonts w:ascii="Times New Roman" w:hAnsi="Times New Roman"/>
          <w:sz w:val="20"/>
        </w:rPr>
        <w:t xml:space="preserve">Please review the available options carefully and submit your election with respect to your eligible CBIZ shares, as applicable. You are responsible for ensuring that your selections are complete and accurate. Only the category or categories relevant to your specific circumstances will be displayed. If more than one category applies to you, a separate election must be submitted for each applicable category. </w:t>
      </w:r>
    </w:p>
    <w:p>
      <w:pPr>
        <w:pStyle w:val="TextBody"/>
        <w:bidi w:val="0"/>
        <w:spacing w:before="360" w:after="0"/>
        <w:jc w:val="left"/>
        <w:rPr>
          <w:rFonts w:ascii="Times New Roman" w:hAnsi="Times New Roman"/>
          <w:b/>
          <w:sz w:val="20"/>
        </w:rPr>
      </w:pPr>
      <w:r>
        <w:rPr>
          <w:rFonts w:ascii="Times New Roman" w:hAnsi="Times New Roman"/>
          <w:b/>
          <w:sz w:val="20"/>
        </w:rPr>
        <w:t xml:space="preserve">1. Shares Currently Held at EquatePlus </w:t>
      </w:r>
    </w:p>
    <w:p>
      <w:pPr>
        <w:pStyle w:val="TextBody"/>
        <w:bidi w:val="0"/>
        <w:spacing w:before="120" w:after="0"/>
        <w:jc w:val="left"/>
        <w:rPr>
          <w:rFonts w:ascii="Times New Roman" w:hAnsi="Times New Roman"/>
          <w:b/>
          <w:sz w:val="20"/>
        </w:rPr>
      </w:pPr>
      <w:r>
        <w:rPr>
          <w:rFonts w:ascii="Times New Roman" w:hAnsi="Times New Roman"/>
          <w:b/>
          <w:sz w:val="20"/>
        </w:rPr>
        <w:t xml:space="preserve">If no CBIZ shares are shown below, then you do not have any Eligible Shares in this category and, therefore, do not need to make any election in this category. Please proceed to Category 2. </w:t>
      </w:r>
    </w:p>
    <w:p>
      <w:pPr>
        <w:pStyle w:val="TextBody"/>
        <w:bidi w:val="0"/>
        <w:spacing w:before="240" w:after="0"/>
        <w:jc w:val="left"/>
        <w:rPr>
          <w:rFonts w:ascii="Times New Roman" w:hAnsi="Times New Roman"/>
          <w:sz w:val="20"/>
        </w:rPr>
      </w:pPr>
      <w:r>
        <w:rPr>
          <w:rFonts w:ascii="Times New Roman" w:hAnsi="Times New Roman"/>
          <w:sz w:val="20"/>
        </w:rPr>
        <w:t xml:space="preserve">The CBIZ shares shown below are the shares that you purchased during the Purchase Period that have not been transferred or sold (your “Eligible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elect to participate in the Rescission Offer with respect to any of your Eligible Shares (on a transaction by transaction basis), then you </w:t>
      </w:r>
      <w:r>
        <w:rPr>
          <w:rFonts w:ascii="Times New Roman" w:hAnsi="Times New Roman"/>
          <w:b/>
          <w:sz w:val="20"/>
          <w:u w:val="single"/>
        </w:rPr>
        <w:t>may</w:t>
      </w:r>
      <w:r>
        <w:rPr>
          <w:rFonts w:ascii="Times New Roman" w:hAnsi="Times New Roman"/>
          <w:sz w:val="20"/>
        </w:rPr>
        <w:t xml:space="preserve"> receive a cash payment equal to the price you paid to purchase such Eligible Shares upon your acquisition under the ESPP (i.e., the discounted purchase price under the ESPP) plus an amount equal to interest on such purchase price for the period from (but excluding) the date of the acquisition through the Expiration Date (your “Cash Payment”). Before any Cash Payment is issued, the Eligible Shares will be debited from your account at EquatePlus and returned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You </w:t>
      </w:r>
      <w:r>
        <w:rPr>
          <w:rFonts w:ascii="Times New Roman" w:hAnsi="Times New Roman"/>
          <w:b/>
          <w:sz w:val="20"/>
          <w:u w:val="single"/>
        </w:rPr>
        <w:t>will not</w:t>
      </w:r>
      <w:r>
        <w:rPr>
          <w:rFonts w:ascii="Times New Roman" w:hAnsi="Times New Roman"/>
          <w:sz w:val="20"/>
        </w:rPr>
        <w:t xml:space="preserve"> receive a payment if the amount of your Cash Payment per Eligible Share is less than the market price of the Company’s common stock on the NYSE on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Any Cash Payment will be paid by CBIZ. If your EquatePlus account is not W-9 certified before the Expiration Date, additional amounts may be required to be withheld from any payments made to you in connection with the Rescission Offer, and the IRS may impose certain penalties. The current withholding rate is 24%. </w:t>
      </w:r>
    </w:p>
    <w:p>
      <w:pPr>
        <w:pStyle w:val="TextBody"/>
        <w:bidi w:val="0"/>
        <w:spacing w:before="240" w:after="0"/>
        <w:jc w:val="left"/>
        <w:rPr>
          <w:rFonts w:ascii="Times New Roman" w:hAnsi="Times New Roman"/>
          <w:sz w:val="20"/>
        </w:rPr>
      </w:pPr>
      <w:r>
        <w:rPr>
          <w:rFonts w:ascii="Times New Roman" w:hAnsi="Times New Roman"/>
          <w:sz w:val="20"/>
        </w:rPr>
        <w:t xml:space="preserve">Please make your selection below after you have carefully reviewed the terms of the Rescission Offer outlined in the Prospectus. Once you submit your election for this category, no further action is required from you. Once submitted, please proceed to Category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6"/>
        <w:gridCol w:w="102"/>
        <w:gridCol w:w="1530"/>
        <w:gridCol w:w="102"/>
        <w:gridCol w:w="1736"/>
        <w:gridCol w:w="102"/>
        <w:gridCol w:w="1735"/>
        <w:gridCol w:w="102"/>
        <w:gridCol w:w="1736"/>
        <w:gridCol w:w="101"/>
        <w:gridCol w:w="1633"/>
      </w:tblGrid>
      <w:tr>
        <w:trPr/>
        <w:tc>
          <w:tcPr>
            <w:tcW w:w="132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132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Select</w:t>
            </w:r>
          </w:p>
        </w:tc>
        <w:tc>
          <w:tcPr>
            <w:tcW w:w="102" w:type="dxa"/>
            <w:tcBorders/>
            <w:vAlign w:val="bottom"/>
          </w:tcPr>
          <w:p>
            <w:pPr>
              <w:pStyle w:val="TableContents"/>
              <w:bidi w:val="0"/>
              <w:spacing w:before="0" w:after="283"/>
              <w:jc w:val="left"/>
              <w:rPr/>
            </w:pPr>
            <w:r>
              <w:rPr/>
              <w:t> </w:t>
            </w:r>
          </w:p>
        </w:tc>
        <w:tc>
          <w:tcPr>
            <w:tcW w:w="153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Allocation</w:t>
              <w:br/>
              <w:t>Sequence</w:t>
            </w:r>
          </w:p>
        </w:tc>
        <w:tc>
          <w:tcPr>
            <w:tcW w:w="102" w:type="dxa"/>
            <w:tcBorders/>
            <w:vAlign w:val="bottom"/>
          </w:tcPr>
          <w:p>
            <w:pPr>
              <w:pStyle w:val="TableContents"/>
              <w:bidi w:val="0"/>
              <w:spacing w:before="0" w:after="283"/>
              <w:jc w:val="left"/>
              <w:rPr/>
            </w:pPr>
            <w:r>
              <w:rPr/>
              <w:t> </w:t>
            </w:r>
          </w:p>
        </w:tc>
        <w:tc>
          <w:tcPr>
            <w:tcW w:w="173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Purchase Id</w:t>
            </w:r>
          </w:p>
        </w:tc>
        <w:tc>
          <w:tcPr>
            <w:tcW w:w="102" w:type="dxa"/>
            <w:tcBorders/>
            <w:vAlign w:val="bottom"/>
          </w:tcPr>
          <w:p>
            <w:pPr>
              <w:pStyle w:val="TableContents"/>
              <w:bidi w:val="0"/>
              <w:spacing w:before="0" w:after="283"/>
              <w:jc w:val="left"/>
              <w:rPr/>
            </w:pPr>
            <w:r>
              <w:rPr/>
              <w:t> </w:t>
            </w:r>
          </w:p>
        </w:tc>
        <w:tc>
          <w:tcPr>
            <w:tcW w:w="173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Purchase Date</w:t>
            </w:r>
          </w:p>
        </w:tc>
        <w:tc>
          <w:tcPr>
            <w:tcW w:w="102" w:type="dxa"/>
            <w:tcBorders/>
            <w:vAlign w:val="bottom"/>
          </w:tcPr>
          <w:p>
            <w:pPr>
              <w:pStyle w:val="TableContents"/>
              <w:bidi w:val="0"/>
              <w:spacing w:before="0" w:after="283"/>
              <w:jc w:val="left"/>
              <w:rPr/>
            </w:pPr>
            <w:r>
              <w:rPr/>
              <w:t> </w:t>
            </w:r>
          </w:p>
        </w:tc>
        <w:tc>
          <w:tcPr>
            <w:tcW w:w="173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Purchase Price</w:t>
            </w:r>
          </w:p>
        </w:tc>
        <w:tc>
          <w:tcPr>
            <w:tcW w:w="101" w:type="dxa"/>
            <w:tcBorders/>
            <w:vAlign w:val="bottom"/>
          </w:tcPr>
          <w:p>
            <w:pPr>
              <w:pStyle w:val="TableContents"/>
              <w:bidi w:val="0"/>
              <w:spacing w:before="0" w:after="283"/>
              <w:jc w:val="left"/>
              <w:rPr/>
            </w:pPr>
            <w:r>
              <w:rPr/>
              <w:t> </w:t>
            </w:r>
          </w:p>
        </w:tc>
        <w:tc>
          <w:tcPr>
            <w:tcW w:w="163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Outstanding</w:t>
              <w:br/>
              <w:t>Quantity</w:t>
            </w:r>
          </w:p>
        </w:tc>
      </w:tr>
      <w:tr>
        <w:trPr/>
        <w:tc>
          <w:tcPr>
            <w:tcW w:w="132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w:t>
            </w:r>
          </w:p>
        </w:tc>
        <w:tc>
          <w:tcPr>
            <w:tcW w:w="102"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w:t>
            </w:r>
          </w:p>
        </w:tc>
        <w:tc>
          <w:tcPr>
            <w:tcW w:w="102" w:type="dxa"/>
            <w:tcBorders/>
            <w:vAlign w:val="bottom"/>
          </w:tcPr>
          <w:p>
            <w:pPr>
              <w:pStyle w:val="TableContents"/>
              <w:bidi w:val="0"/>
              <w:spacing w:before="0" w:after="283"/>
              <w:jc w:val="left"/>
              <w:rPr/>
            </w:pPr>
            <w:r>
              <w:rPr/>
              <w:t> </w:t>
            </w:r>
          </w:p>
        </w:tc>
        <w:tc>
          <w:tcPr>
            <w:tcW w:w="1735" w:type="dxa"/>
            <w:tcBorders/>
            <w:vAlign w:val="bottom"/>
          </w:tcPr>
          <w:p>
            <w:pPr>
              <w:pStyle w:val="TableContents"/>
              <w:bidi w:val="0"/>
              <w:spacing w:before="0" w:after="283"/>
              <w:jc w:val="right"/>
              <w:rPr/>
            </w:pPr>
            <w:r>
              <w:rPr/>
              <w:t>[●]</w:t>
            </w:r>
          </w:p>
        </w:tc>
        <w:tc>
          <w:tcPr>
            <w:tcW w:w="102"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w:t>
            </w:r>
          </w:p>
        </w:tc>
        <w:tc>
          <w:tcPr>
            <w:tcW w:w="101"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w:t>
            </w:r>
          </w:p>
        </w:tc>
      </w:tr>
    </w:tbl>
    <w:p>
      <w:pPr>
        <w:pStyle w:val="TextBody"/>
        <w:bidi w:val="0"/>
        <w:spacing w:before="240" w:after="0"/>
        <w:jc w:val="left"/>
        <w:rPr/>
      </w:pPr>
      <w:r>
        <w:rPr/>
        <w:t xml:space="preserve">☐ </w:t>
      </w:r>
      <w:r>
        <w:rPr>
          <w:rFonts w:ascii="Times New Roman" w:hAnsi="Times New Roman"/>
          <w:sz w:val="20"/>
        </w:rPr>
        <w:t xml:space="preserve">I confirm that I have reviewed, understand, and agree to the terms and conditions of the Rescission Offer as outlined in the Prospectus. </w:t>
      </w:r>
    </w:p>
    <w:p>
      <w:pPr>
        <w:pStyle w:val="TextBody"/>
        <w:bidi w:val="0"/>
        <w:spacing w:before="120" w:after="0"/>
        <w:jc w:val="left"/>
        <w:rPr>
          <w:rFonts w:ascii="Times New Roman" w:hAnsi="Times New Roman"/>
          <w:sz w:val="20"/>
        </w:rPr>
      </w:pPr>
      <w:r>
        <w:rPr>
          <w:rFonts w:ascii="Times New Roman" w:hAnsi="Times New Roman"/>
          <w:sz w:val="20"/>
        </w:rPr>
        <w:t>All elections remain subject to the terms and conditions outlined in the Prospectus.</w:t>
      </w:r>
    </w:p>
    <w:p>
      <w:pPr>
        <w:pStyle w:val="TextBody"/>
        <w:bidi w:val="0"/>
        <w:spacing w:before="240" w:after="0"/>
        <w:jc w:val="left"/>
        <w:rPr/>
      </w:pPr>
      <w:r>
        <w:rPr/>
        <w:t xml:space="preserve">☐ </w:t>
      </w:r>
      <w:r>
        <w:rPr>
          <w:rFonts w:ascii="Times New Roman" w:hAnsi="Times New Roman"/>
          <w:sz w:val="20"/>
        </w:rPr>
        <w:t xml:space="preserve">I confirm that my information in EquatePlus is current and accurate (including but not limited to my tax certification (for example, Form W-9), mailing address, bank information and payment details, telephone number, and email address). </w:t>
      </w:r>
    </w:p>
    <w:p>
      <w:pPr>
        <w:pStyle w:val="TextBody"/>
        <w:bidi w:val="0"/>
        <w:spacing w:before="240" w:after="0"/>
        <w:jc w:val="left"/>
        <w:rPr>
          <w:rFonts w:ascii="Times New Roman" w:hAnsi="Times New Roman"/>
          <w:sz w:val="20"/>
        </w:rPr>
      </w:pPr>
      <w:r>
        <w:rPr>
          <w:rFonts w:ascii="Times New Roman" w:hAnsi="Times New Roman"/>
          <w:sz w:val="20"/>
        </w:rPr>
        <w:t xml:space="preserve">You may withdraw or change your election at any time before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Go to </w:t>
      </w:r>
      <w:r>
        <w:rPr>
          <w:rFonts w:ascii="Times New Roman" w:hAnsi="Times New Roman"/>
          <w:b/>
          <w:sz w:val="20"/>
        </w:rPr>
        <w:t>Library</w:t>
      </w:r>
      <w:r>
        <w:rPr>
          <w:rFonts w:ascii="Times New Roman" w:hAnsi="Times New Roman"/>
          <w:sz w:val="20"/>
        </w:rPr>
        <w:t xml:space="preserve"> &gt; </w:t>
      </w:r>
      <w:r>
        <w:rPr>
          <w:rFonts w:ascii="Times New Roman" w:hAnsi="Times New Roman"/>
          <w:b/>
          <w:sz w:val="20"/>
        </w:rPr>
        <w:t>Tasks</w:t>
      </w:r>
      <w:r>
        <w:rPr>
          <w:rFonts w:ascii="Times New Roman" w:hAnsi="Times New Roman"/>
          <w:sz w:val="20"/>
        </w:rPr>
        <w:t xml:space="preserve"> &gt; </w:t>
      </w:r>
      <w:r>
        <w:rPr>
          <w:rFonts w:ascii="Times New Roman" w:hAnsi="Times New Roman"/>
          <w:b/>
          <w:sz w:val="20"/>
        </w:rPr>
        <w:t>Elections</w:t>
      </w:r>
      <w:r>
        <w:rPr>
          <w:rFonts w:ascii="Times New Roman" w:hAnsi="Times New Roman"/>
          <w:sz w:val="20"/>
        </w:rPr>
        <w:t xml:space="preserve"> and select </w:t>
      </w:r>
      <w:r>
        <w:rPr>
          <w:rFonts w:ascii="Times New Roman" w:hAnsi="Times New Roman"/>
          <w:b/>
          <w:sz w:val="20"/>
        </w:rPr>
        <w:t>Delete</w:t>
      </w:r>
      <w:r>
        <w:rPr>
          <w:rFonts w:ascii="Times New Roman" w:hAnsi="Times New Roman"/>
          <w:sz w:val="20"/>
        </w:rPr>
        <w:t xml:space="preserve"> to withdraw your election or select </w:t>
      </w:r>
      <w:r>
        <w:rPr>
          <w:rFonts w:ascii="Times New Roman" w:hAnsi="Times New Roman"/>
          <w:b/>
          <w:sz w:val="20"/>
        </w:rPr>
        <w:t>Edit</w:t>
      </w:r>
      <w:r>
        <w:rPr>
          <w:rFonts w:ascii="Times New Roman" w:hAnsi="Times New Roman"/>
          <w:sz w:val="20"/>
        </w:rPr>
        <w:t xml:space="preserve"> to change your election. </w:t>
      </w:r>
    </w:p>
    <w:p>
      <w:pPr>
        <w:pStyle w:val="TextBody"/>
        <w:bidi w:val="0"/>
        <w:spacing w:before="360" w:after="0"/>
        <w:jc w:val="left"/>
        <w:rPr>
          <w:rFonts w:ascii="Times New Roman" w:hAnsi="Times New Roman"/>
          <w:b/>
          <w:sz w:val="20"/>
        </w:rPr>
      </w:pPr>
      <w:r>
        <w:rPr>
          <w:rFonts w:ascii="Times New Roman" w:hAnsi="Times New Roman"/>
          <w:b/>
          <w:sz w:val="20"/>
        </w:rPr>
        <w:t xml:space="preserve">2. Shares Previously Sold through EquatePlus </w:t>
      </w:r>
    </w:p>
    <w:p>
      <w:pPr>
        <w:pStyle w:val="TextBody"/>
        <w:bidi w:val="0"/>
        <w:spacing w:before="120" w:after="0"/>
        <w:jc w:val="left"/>
        <w:rPr>
          <w:rFonts w:ascii="Times New Roman" w:hAnsi="Times New Roman"/>
          <w:sz w:val="20"/>
        </w:rPr>
      </w:pPr>
      <w:r>
        <w:rPr>
          <w:rFonts w:ascii="Times New Roman" w:hAnsi="Times New Roman"/>
          <w:sz w:val="20"/>
        </w:rPr>
        <w:t xml:space="preserve">If no CBIZ shares are shown below, then you do not have any Eligible Losses (as defined below) in this category and, therefore, do not need to make any election in this category. Please proceed to Category 3. </w:t>
      </w:r>
    </w:p>
    <w:p>
      <w:pPr>
        <w:pStyle w:val="TextBody"/>
        <w:bidi w:val="0"/>
        <w:spacing w:before="240" w:after="0"/>
        <w:jc w:val="left"/>
        <w:rPr>
          <w:rFonts w:ascii="Times New Roman" w:hAnsi="Times New Roman"/>
          <w:sz w:val="20"/>
        </w:rPr>
      </w:pPr>
      <w:r>
        <w:rPr>
          <w:rFonts w:ascii="Times New Roman" w:hAnsi="Times New Roman"/>
          <w:sz w:val="20"/>
        </w:rPr>
        <w:t xml:space="preserve">The CBIZ shares shown below are the shares that you previously sold at a loss (your “Eligible Losses”). </w:t>
      </w:r>
    </w:p>
    <w:p>
      <w:pPr>
        <w:pStyle w:val="TextBody"/>
        <w:bidi w:val="0"/>
        <w:spacing w:before="240" w:after="0"/>
        <w:jc w:val="left"/>
        <w:rPr>
          <w:rFonts w:ascii="Times New Roman" w:hAnsi="Times New Roman"/>
          <w:sz w:val="20"/>
        </w:rPr>
      </w:pPr>
      <w:r>
        <w:rPr>
          <w:rFonts w:ascii="Times New Roman" w:hAnsi="Times New Roman"/>
          <w:sz w:val="20"/>
        </w:rPr>
        <w:t xml:space="preserve">If you elect to participate in the Rescission Offer with respect to any Eligible Losses (on a transaction by transaction basis), then you may receive a cash payment equal to the excess of the purchase price paid for such shares upon your acquisition under the ESPP (i.e., the discounted purchase price under the ESPP) over the proceeds from the sale of such shares, plus an amount equal to interest (i) on the amount you paid for such shares (i.e., the discounted purchase price under the ESPP) for the period from the date of acquisition through the date of sale and (ii) on the loss from the sale of such shares for the period from (but excluding) the date of sale through the Expiration Date (your “Loss Cash Payment”). </w:t>
      </w:r>
    </w:p>
    <w:p>
      <w:pPr>
        <w:pStyle w:val="TextBody"/>
        <w:bidi w:val="0"/>
        <w:spacing w:before="240" w:after="0"/>
        <w:jc w:val="left"/>
        <w:rPr>
          <w:rFonts w:ascii="Times New Roman" w:hAnsi="Times New Roman"/>
          <w:sz w:val="20"/>
        </w:rPr>
      </w:pPr>
      <w:r>
        <w:rPr>
          <w:rFonts w:ascii="Times New Roman" w:hAnsi="Times New Roman"/>
          <w:sz w:val="20"/>
        </w:rPr>
        <w:t xml:space="preserve">Any Loss Cash Payment will be paid by CBIZ. If your EquatePlus account is not W-9 certified before the Expiration Date, additional amounts may be required to be withheld from any payments made to you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the Rescission Offer, and the IRS may impose certain penalties. The current withholding rate is 24%. </w:t>
      </w:r>
    </w:p>
    <w:p>
      <w:pPr>
        <w:pStyle w:val="TextBody"/>
        <w:bidi w:val="0"/>
        <w:spacing w:before="240" w:after="0"/>
        <w:jc w:val="left"/>
        <w:rPr>
          <w:rFonts w:ascii="Times New Roman" w:hAnsi="Times New Roman"/>
          <w:sz w:val="20"/>
        </w:rPr>
      </w:pPr>
      <w:r>
        <w:rPr>
          <w:rFonts w:ascii="Times New Roman" w:hAnsi="Times New Roman"/>
          <w:sz w:val="20"/>
        </w:rPr>
        <w:t xml:space="preserve">Please make your selection below after you have carefully reviewed the terms of the Rescission Offer outlined in the Prospectus. Once you submit your election for this category, no further action is required from you. Once submitted, please proceed to Category 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6"/>
        <w:gridCol w:w="102"/>
        <w:gridCol w:w="1530"/>
        <w:gridCol w:w="102"/>
        <w:gridCol w:w="1736"/>
        <w:gridCol w:w="102"/>
        <w:gridCol w:w="1735"/>
        <w:gridCol w:w="102"/>
        <w:gridCol w:w="1736"/>
        <w:gridCol w:w="101"/>
        <w:gridCol w:w="1633"/>
      </w:tblGrid>
      <w:tr>
        <w:trPr/>
        <w:tc>
          <w:tcPr>
            <w:tcW w:w="132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132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Select</w:t>
            </w:r>
          </w:p>
        </w:tc>
        <w:tc>
          <w:tcPr>
            <w:tcW w:w="102" w:type="dxa"/>
            <w:tcBorders/>
            <w:vAlign w:val="bottom"/>
          </w:tcPr>
          <w:p>
            <w:pPr>
              <w:pStyle w:val="TableContents"/>
              <w:bidi w:val="0"/>
              <w:spacing w:before="0" w:after="283"/>
              <w:jc w:val="left"/>
              <w:rPr/>
            </w:pPr>
            <w:r>
              <w:rPr/>
              <w:t> </w:t>
            </w:r>
          </w:p>
        </w:tc>
        <w:tc>
          <w:tcPr>
            <w:tcW w:w="153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Allocation</w:t>
              <w:br/>
              <w:t>Sequence</w:t>
            </w:r>
          </w:p>
        </w:tc>
        <w:tc>
          <w:tcPr>
            <w:tcW w:w="102" w:type="dxa"/>
            <w:tcBorders/>
            <w:vAlign w:val="bottom"/>
          </w:tcPr>
          <w:p>
            <w:pPr>
              <w:pStyle w:val="TableContents"/>
              <w:bidi w:val="0"/>
              <w:spacing w:before="0" w:after="283"/>
              <w:jc w:val="left"/>
              <w:rPr/>
            </w:pPr>
            <w:r>
              <w:rPr/>
              <w:t> </w:t>
            </w:r>
          </w:p>
        </w:tc>
        <w:tc>
          <w:tcPr>
            <w:tcW w:w="173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Purchase Id</w:t>
            </w:r>
          </w:p>
        </w:tc>
        <w:tc>
          <w:tcPr>
            <w:tcW w:w="102" w:type="dxa"/>
            <w:tcBorders/>
            <w:vAlign w:val="bottom"/>
          </w:tcPr>
          <w:p>
            <w:pPr>
              <w:pStyle w:val="TableContents"/>
              <w:bidi w:val="0"/>
              <w:spacing w:before="0" w:after="283"/>
              <w:jc w:val="left"/>
              <w:rPr/>
            </w:pPr>
            <w:r>
              <w:rPr/>
              <w:t> </w:t>
            </w:r>
          </w:p>
        </w:tc>
        <w:tc>
          <w:tcPr>
            <w:tcW w:w="173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Purchase Date</w:t>
            </w:r>
          </w:p>
        </w:tc>
        <w:tc>
          <w:tcPr>
            <w:tcW w:w="102" w:type="dxa"/>
            <w:tcBorders/>
            <w:vAlign w:val="bottom"/>
          </w:tcPr>
          <w:p>
            <w:pPr>
              <w:pStyle w:val="TableContents"/>
              <w:bidi w:val="0"/>
              <w:spacing w:before="0" w:after="283"/>
              <w:jc w:val="left"/>
              <w:rPr/>
            </w:pPr>
            <w:r>
              <w:rPr/>
              <w:t> </w:t>
            </w:r>
          </w:p>
        </w:tc>
        <w:tc>
          <w:tcPr>
            <w:tcW w:w="173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Purchase Price</w:t>
            </w:r>
          </w:p>
        </w:tc>
        <w:tc>
          <w:tcPr>
            <w:tcW w:w="101" w:type="dxa"/>
            <w:tcBorders/>
            <w:vAlign w:val="bottom"/>
          </w:tcPr>
          <w:p>
            <w:pPr>
              <w:pStyle w:val="TableContents"/>
              <w:bidi w:val="0"/>
              <w:spacing w:before="0" w:after="283"/>
              <w:jc w:val="left"/>
              <w:rPr/>
            </w:pPr>
            <w:r>
              <w:rPr/>
              <w:t> </w:t>
            </w:r>
          </w:p>
        </w:tc>
        <w:tc>
          <w:tcPr>
            <w:tcW w:w="163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Outstanding</w:t>
              <w:br/>
              <w:t>Quantity</w:t>
            </w:r>
          </w:p>
        </w:tc>
      </w:tr>
      <w:tr>
        <w:trPr/>
        <w:tc>
          <w:tcPr>
            <w:tcW w:w="132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w:t>
            </w:r>
          </w:p>
        </w:tc>
        <w:tc>
          <w:tcPr>
            <w:tcW w:w="102"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w:t>
            </w:r>
          </w:p>
        </w:tc>
        <w:tc>
          <w:tcPr>
            <w:tcW w:w="102" w:type="dxa"/>
            <w:tcBorders/>
            <w:vAlign w:val="bottom"/>
          </w:tcPr>
          <w:p>
            <w:pPr>
              <w:pStyle w:val="TableContents"/>
              <w:bidi w:val="0"/>
              <w:spacing w:before="0" w:after="283"/>
              <w:jc w:val="left"/>
              <w:rPr/>
            </w:pPr>
            <w:r>
              <w:rPr/>
              <w:t> </w:t>
            </w:r>
          </w:p>
        </w:tc>
        <w:tc>
          <w:tcPr>
            <w:tcW w:w="1735" w:type="dxa"/>
            <w:tcBorders/>
            <w:vAlign w:val="bottom"/>
          </w:tcPr>
          <w:p>
            <w:pPr>
              <w:pStyle w:val="TableContents"/>
              <w:bidi w:val="0"/>
              <w:spacing w:before="0" w:after="283"/>
              <w:jc w:val="right"/>
              <w:rPr/>
            </w:pPr>
            <w:r>
              <w:rPr/>
              <w:t>[●]</w:t>
            </w:r>
          </w:p>
        </w:tc>
        <w:tc>
          <w:tcPr>
            <w:tcW w:w="102"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w:t>
            </w:r>
          </w:p>
        </w:tc>
        <w:tc>
          <w:tcPr>
            <w:tcW w:w="101"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w:t>
            </w:r>
          </w:p>
        </w:tc>
      </w:tr>
    </w:tbl>
    <w:p>
      <w:pPr>
        <w:pStyle w:val="TextBody"/>
        <w:bidi w:val="0"/>
        <w:spacing w:before="240" w:after="0"/>
        <w:jc w:val="left"/>
        <w:rPr/>
      </w:pPr>
      <w:r>
        <w:rPr/>
        <w:t xml:space="preserve">☐ </w:t>
      </w:r>
      <w:r>
        <w:rPr>
          <w:rFonts w:ascii="Times New Roman" w:hAnsi="Times New Roman"/>
          <w:sz w:val="20"/>
        </w:rPr>
        <w:t xml:space="preserve">I confirm that I have reviewed, understand, and agree to the terms and conditions of the Rescission Offer as outlined in the Prospectus. </w:t>
      </w:r>
    </w:p>
    <w:p>
      <w:pPr>
        <w:pStyle w:val="TextBody"/>
        <w:bidi w:val="0"/>
        <w:spacing w:before="120" w:after="0"/>
        <w:jc w:val="left"/>
        <w:rPr>
          <w:rFonts w:ascii="Times New Roman" w:hAnsi="Times New Roman"/>
          <w:sz w:val="20"/>
        </w:rPr>
      </w:pPr>
      <w:r>
        <w:rPr>
          <w:rFonts w:ascii="Times New Roman" w:hAnsi="Times New Roman"/>
          <w:sz w:val="20"/>
        </w:rPr>
        <w:t>All elections remain subject to the terms and conditions outlined in the Prospectus.</w:t>
      </w:r>
    </w:p>
    <w:p>
      <w:pPr>
        <w:pStyle w:val="TextBody"/>
        <w:bidi w:val="0"/>
        <w:spacing w:before="240" w:after="0"/>
        <w:jc w:val="left"/>
        <w:rPr/>
      </w:pPr>
      <w:r>
        <w:rPr/>
        <w:t xml:space="preserve">☐ </w:t>
      </w:r>
      <w:r>
        <w:rPr>
          <w:rFonts w:ascii="Times New Roman" w:hAnsi="Times New Roman"/>
          <w:sz w:val="20"/>
        </w:rPr>
        <w:t xml:space="preserve">I confirm that my information in EquatePlus is current and accurate (including but not limited to my tax certification (for example, Form W-9), mailing address, bank information and payment details, telephone number, and email address). </w:t>
      </w:r>
    </w:p>
    <w:p>
      <w:pPr>
        <w:pStyle w:val="TextBody"/>
        <w:bidi w:val="0"/>
        <w:spacing w:before="240" w:after="0"/>
        <w:jc w:val="left"/>
        <w:rPr>
          <w:rFonts w:ascii="Times New Roman" w:hAnsi="Times New Roman"/>
          <w:sz w:val="20"/>
        </w:rPr>
      </w:pPr>
      <w:r>
        <w:rPr>
          <w:rFonts w:ascii="Times New Roman" w:hAnsi="Times New Roman"/>
          <w:sz w:val="20"/>
        </w:rPr>
        <w:t xml:space="preserve">You may withdraw or change your election at any time before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Go to </w:t>
      </w:r>
      <w:r>
        <w:rPr>
          <w:rFonts w:ascii="Times New Roman" w:hAnsi="Times New Roman"/>
          <w:b/>
          <w:sz w:val="20"/>
        </w:rPr>
        <w:t>Library</w:t>
      </w:r>
      <w:r>
        <w:rPr>
          <w:rFonts w:ascii="Times New Roman" w:hAnsi="Times New Roman"/>
          <w:sz w:val="20"/>
        </w:rPr>
        <w:t xml:space="preserve"> &gt; </w:t>
      </w:r>
      <w:r>
        <w:rPr>
          <w:rFonts w:ascii="Times New Roman" w:hAnsi="Times New Roman"/>
          <w:b/>
          <w:sz w:val="20"/>
        </w:rPr>
        <w:t>Tasks</w:t>
      </w:r>
      <w:r>
        <w:rPr>
          <w:rFonts w:ascii="Times New Roman" w:hAnsi="Times New Roman"/>
          <w:sz w:val="20"/>
        </w:rPr>
        <w:t xml:space="preserve"> &gt; </w:t>
      </w:r>
      <w:r>
        <w:rPr>
          <w:rFonts w:ascii="Times New Roman" w:hAnsi="Times New Roman"/>
          <w:b/>
          <w:sz w:val="20"/>
        </w:rPr>
        <w:t>Elections</w:t>
      </w:r>
      <w:r>
        <w:rPr>
          <w:rFonts w:ascii="Times New Roman" w:hAnsi="Times New Roman"/>
          <w:sz w:val="20"/>
        </w:rPr>
        <w:t xml:space="preserve"> and select </w:t>
      </w:r>
      <w:r>
        <w:rPr>
          <w:rFonts w:ascii="Times New Roman" w:hAnsi="Times New Roman"/>
          <w:b/>
          <w:sz w:val="20"/>
        </w:rPr>
        <w:t>Delete</w:t>
      </w:r>
      <w:r>
        <w:rPr>
          <w:rFonts w:ascii="Times New Roman" w:hAnsi="Times New Roman"/>
          <w:sz w:val="20"/>
        </w:rPr>
        <w:t xml:space="preserve"> to withdraw your election or select </w:t>
      </w:r>
      <w:r>
        <w:rPr>
          <w:rFonts w:ascii="Times New Roman" w:hAnsi="Times New Roman"/>
          <w:b/>
          <w:sz w:val="20"/>
        </w:rPr>
        <w:t>Edit</w:t>
      </w:r>
      <w:r>
        <w:rPr>
          <w:rFonts w:ascii="Times New Roman" w:hAnsi="Times New Roman"/>
          <w:sz w:val="20"/>
        </w:rPr>
        <w:t xml:space="preserve"> to change your election. </w:t>
      </w:r>
    </w:p>
    <w:p>
      <w:pPr>
        <w:pStyle w:val="TextBody"/>
        <w:bidi w:val="0"/>
        <w:spacing w:before="360" w:after="0"/>
        <w:jc w:val="left"/>
        <w:rPr>
          <w:rFonts w:ascii="Times New Roman" w:hAnsi="Times New Roman"/>
          <w:b/>
          <w:sz w:val="20"/>
        </w:rPr>
      </w:pPr>
      <w:r>
        <w:rPr>
          <w:rFonts w:ascii="Times New Roman" w:hAnsi="Times New Roman"/>
          <w:b/>
          <w:sz w:val="20"/>
        </w:rPr>
        <w:t xml:space="preserve">3. Shares Transferred to an External Broker </w:t>
      </w:r>
    </w:p>
    <w:p>
      <w:pPr>
        <w:pStyle w:val="TextBody"/>
        <w:bidi w:val="0"/>
        <w:spacing w:before="120" w:after="0"/>
        <w:jc w:val="left"/>
        <w:rPr>
          <w:rFonts w:ascii="Times New Roman" w:hAnsi="Times New Roman"/>
          <w:sz w:val="20"/>
        </w:rPr>
      </w:pPr>
      <w:r>
        <w:rPr>
          <w:rFonts w:ascii="Times New Roman" w:hAnsi="Times New Roman"/>
          <w:sz w:val="20"/>
        </w:rPr>
        <w:t xml:space="preserve">If no CBIZ shares are shown below, then you have not transferred any shares that are eligible for the Rescission Offer from EquatePlus to an external brokerage account, and no further action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The CBIZ shares shown below are the shares that you previously transferred from EquatePlus to an external brokerage account (your “Transferred Shares”). </w:t>
      </w:r>
    </w:p>
    <w:p>
      <w:pPr>
        <w:pStyle w:val="TextBody"/>
        <w:bidi w:val="0"/>
        <w:spacing w:before="240" w:after="0"/>
        <w:jc w:val="left"/>
        <w:rPr>
          <w:rFonts w:ascii="Times New Roman" w:hAnsi="Times New Roman"/>
          <w:sz w:val="20"/>
        </w:rPr>
      </w:pPr>
      <w:r>
        <w:rPr>
          <w:rFonts w:ascii="WINGDINGS 3" w:hAnsi="WINGDINGS 3"/>
          <w:sz w:val="20"/>
        </w:rPr>
        <w:t>p</w:t>
      </w:r>
      <w:r>
        <w:rPr>
          <w:rFonts w:ascii="Times New Roman" w:hAnsi="Times New Roman"/>
          <w:sz w:val="20"/>
        </w:rPr>
        <w:t xml:space="preserve"> </w:t>
      </w:r>
      <w:r>
        <w:rPr>
          <w:rFonts w:ascii="Times New Roman" w:hAnsi="Times New Roman"/>
          <w:b/>
          <w:sz w:val="20"/>
        </w:rPr>
        <w:t xml:space="preserve">You may not submit your election for the eligible Transferred Shares online through EquatePlus. In order to properly submit your election for the eligible Transferred Shares, you must submit the election form referenced below in accordance with the instructions set forth therein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To elect to accept the Rescission Offer with respect to the eligible Transferred Shares, you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the election form [here],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the election form and attach any supporting material requested in the election form and the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the completed election form and supporting material to Stock &amp; Options Solutions in the manner outlined in the election form and the Prospectus and /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instruct your broker or broker nominee that holds any eligible Transferred Shares to place such eligible Transferred Shares in your name at Computershare via the Direct Registration System (DRS) as soon as practicable after you submit the election form. </w:t>
            </w:r>
            <w:r>
              <w:rPr>
                <w:rFonts w:ascii="Times New Roman" w:hAnsi="Times New Roman"/>
                <w:b/>
                <w:sz w:val="20"/>
              </w:rPr>
              <w:t>Your eligible Transferred Shares (i)</w:t>
            </w:r>
            <w:r>
              <w:rPr>
                <w:rFonts w:ascii="Times New Roman" w:hAnsi="Times New Roman"/>
                <w:sz w:val="20"/>
              </w:rPr>
              <w:t> </w:t>
            </w:r>
            <w:r>
              <w:rPr>
                <w:rFonts w:ascii="Times New Roman" w:hAnsi="Times New Roman"/>
                <w:b/>
                <w:sz w:val="20"/>
              </w:rPr>
              <w:t>must be placed in your DRS account at Computershare before the Expiration Date and (ii)</w:t>
            </w:r>
            <w:r>
              <w:rPr>
                <w:rFonts w:ascii="Times New Roman" w:hAnsi="Times New Roman"/>
                <w:sz w:val="20"/>
              </w:rPr>
              <w:t> </w:t>
            </w:r>
            <w:r>
              <w:rPr>
                <w:rFonts w:ascii="Times New Roman" w:hAnsi="Times New Roman"/>
                <w:b/>
                <w:sz w:val="20"/>
              </w:rPr>
              <w:t xml:space="preserve">must remain in your DRS account at Computershare at all times after the Expiration Date.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6"/>
        <w:gridCol w:w="102"/>
        <w:gridCol w:w="1530"/>
        <w:gridCol w:w="102"/>
        <w:gridCol w:w="1736"/>
        <w:gridCol w:w="102"/>
        <w:gridCol w:w="1735"/>
        <w:gridCol w:w="102"/>
        <w:gridCol w:w="1736"/>
        <w:gridCol w:w="101"/>
        <w:gridCol w:w="1633"/>
      </w:tblGrid>
      <w:tr>
        <w:trPr/>
        <w:tc>
          <w:tcPr>
            <w:tcW w:w="132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132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Select</w:t>
            </w:r>
          </w:p>
        </w:tc>
        <w:tc>
          <w:tcPr>
            <w:tcW w:w="102"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Allocation</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Sequence</w:t>
            </w:r>
          </w:p>
        </w:tc>
        <w:tc>
          <w:tcPr>
            <w:tcW w:w="102" w:type="dxa"/>
            <w:tcBorders/>
            <w:vAlign w:val="bottom"/>
          </w:tcPr>
          <w:p>
            <w:pPr>
              <w:pStyle w:val="TableContents"/>
              <w:bidi w:val="0"/>
              <w:spacing w:before="0" w:after="283"/>
              <w:jc w:val="left"/>
              <w:rPr/>
            </w:pPr>
            <w:r>
              <w:rPr/>
              <w:t> </w:t>
            </w:r>
          </w:p>
        </w:tc>
        <w:tc>
          <w:tcPr>
            <w:tcW w:w="173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Purchase Id</w:t>
            </w:r>
          </w:p>
        </w:tc>
        <w:tc>
          <w:tcPr>
            <w:tcW w:w="102" w:type="dxa"/>
            <w:tcBorders/>
            <w:vAlign w:val="bottom"/>
          </w:tcPr>
          <w:p>
            <w:pPr>
              <w:pStyle w:val="TableContents"/>
              <w:bidi w:val="0"/>
              <w:spacing w:before="0" w:after="283"/>
              <w:jc w:val="left"/>
              <w:rPr/>
            </w:pPr>
            <w:r>
              <w:rPr/>
              <w:t> </w:t>
            </w:r>
          </w:p>
        </w:tc>
        <w:tc>
          <w:tcPr>
            <w:tcW w:w="173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Purchase Date</w:t>
            </w:r>
          </w:p>
        </w:tc>
        <w:tc>
          <w:tcPr>
            <w:tcW w:w="102" w:type="dxa"/>
            <w:tcBorders/>
            <w:vAlign w:val="bottom"/>
          </w:tcPr>
          <w:p>
            <w:pPr>
              <w:pStyle w:val="TableContents"/>
              <w:bidi w:val="0"/>
              <w:spacing w:before="0" w:after="283"/>
              <w:jc w:val="left"/>
              <w:rPr/>
            </w:pPr>
            <w:r>
              <w:rPr/>
              <w:t> </w:t>
            </w:r>
          </w:p>
        </w:tc>
        <w:tc>
          <w:tcPr>
            <w:tcW w:w="173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Purchase Price</w:t>
            </w:r>
          </w:p>
        </w:tc>
        <w:tc>
          <w:tcPr>
            <w:tcW w:w="101" w:type="dxa"/>
            <w:tcBorders/>
            <w:vAlign w:val="bottom"/>
          </w:tcPr>
          <w:p>
            <w:pPr>
              <w:pStyle w:val="TableContents"/>
              <w:bidi w:val="0"/>
              <w:spacing w:before="0" w:after="283"/>
              <w:jc w:val="left"/>
              <w:rPr/>
            </w:pPr>
            <w:r>
              <w:rPr/>
              <w:t> </w:t>
            </w:r>
          </w:p>
        </w:tc>
        <w:tc>
          <w:tcPr>
            <w:tcW w:w="163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Outstanding</w:t>
              <w:br/>
              <w:t>Quantity</w:t>
            </w:r>
          </w:p>
        </w:tc>
      </w:tr>
      <w:tr>
        <w:trPr/>
        <w:tc>
          <w:tcPr>
            <w:tcW w:w="132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w:t>
            </w:r>
          </w:p>
        </w:tc>
        <w:tc>
          <w:tcPr>
            <w:tcW w:w="102"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w:t>
            </w:r>
          </w:p>
        </w:tc>
        <w:tc>
          <w:tcPr>
            <w:tcW w:w="102" w:type="dxa"/>
            <w:tcBorders/>
            <w:vAlign w:val="bottom"/>
          </w:tcPr>
          <w:p>
            <w:pPr>
              <w:pStyle w:val="TableContents"/>
              <w:bidi w:val="0"/>
              <w:spacing w:before="0" w:after="283"/>
              <w:jc w:val="left"/>
              <w:rPr/>
            </w:pPr>
            <w:r>
              <w:rPr/>
              <w:t> </w:t>
            </w:r>
          </w:p>
        </w:tc>
        <w:tc>
          <w:tcPr>
            <w:tcW w:w="1735" w:type="dxa"/>
            <w:tcBorders/>
            <w:vAlign w:val="bottom"/>
          </w:tcPr>
          <w:p>
            <w:pPr>
              <w:pStyle w:val="TableContents"/>
              <w:bidi w:val="0"/>
              <w:spacing w:before="0" w:after="283"/>
              <w:jc w:val="right"/>
              <w:rPr/>
            </w:pPr>
            <w:r>
              <w:rPr/>
              <w:t>[●]</w:t>
            </w:r>
          </w:p>
        </w:tc>
        <w:tc>
          <w:tcPr>
            <w:tcW w:w="102"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w:t>
            </w:r>
          </w:p>
        </w:tc>
        <w:tc>
          <w:tcPr>
            <w:tcW w:w="101"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xml:space="preserve">☐ </w:t>
      </w:r>
      <w:r>
        <w:rPr>
          <w:rFonts w:ascii="Times New Roman" w:hAnsi="Times New Roman"/>
          <w:sz w:val="20"/>
        </w:rPr>
        <w:t xml:space="preserve">I confirm that I have reviewed, understand, and agree to the terms and conditions of the Rescission Offer as outlined in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All elections remain subject to the terms and conditions outlined in the Prospectus. </w:t>
      </w:r>
    </w:p>
    <w:p>
      <w:pPr>
        <w:pStyle w:val="TextBody"/>
        <w:bidi w:val="0"/>
        <w:spacing w:before="240" w:after="0"/>
        <w:jc w:val="left"/>
        <w:rPr/>
      </w:pPr>
      <w:r>
        <w:rPr/>
        <w:t xml:space="preserve">☐ </w:t>
      </w:r>
      <w:r>
        <w:rPr>
          <w:rFonts w:ascii="Times New Roman" w:hAnsi="Times New Roman"/>
          <w:sz w:val="20"/>
        </w:rPr>
        <w:t xml:space="preserve">I confirm that my information in EquatePlus is current and accurate (including but not limited to my tax certification (for example, Form W-9), mailing address, bank information and payment details, telephone number, and email address), which can be viewed by clicking the down arrow next to your name, on the Overview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INSTRUCTIONS TO THE </w:t>
      </w:r>
    </w:p>
    <w:p>
      <w:pPr>
        <w:pStyle w:val="TextBody"/>
        <w:bidi w:val="0"/>
        <w:spacing w:before="0" w:after="0"/>
        <w:jc w:val="center"/>
        <w:rPr>
          <w:rFonts w:ascii="Times New Roman" w:hAnsi="Times New Roman"/>
          <w:b/>
          <w:sz w:val="20"/>
        </w:rPr>
      </w:pPr>
      <w:r>
        <w:rPr>
          <w:rFonts w:ascii="Times New Roman" w:hAnsi="Times New Roman"/>
          <w:b/>
          <w:sz w:val="20"/>
        </w:rPr>
        <w:t xml:space="preserve">RESCISSION OFFER ELECTION FORM </w:t>
      </w:r>
    </w:p>
    <w:p>
      <w:pPr>
        <w:pStyle w:val="TextBody"/>
        <w:bidi w:val="0"/>
        <w:spacing w:before="0" w:after="0"/>
        <w:jc w:val="center"/>
        <w:rPr>
          <w:rFonts w:ascii="Times New Roman" w:hAnsi="Times New Roman"/>
          <w:b/>
          <w:sz w:val="20"/>
        </w:rPr>
      </w:pPr>
      <w:r>
        <w:rPr>
          <w:rFonts w:ascii="Times New Roman" w:hAnsi="Times New Roman"/>
          <w:b/>
          <w:sz w:val="20"/>
        </w:rPr>
        <w:t xml:space="preserve">FOR SHARES TRANSFERRED OUT OF EQUATEPLUS </w:t>
      </w:r>
    </w:p>
    <w:p>
      <w:pPr>
        <w:pStyle w:val="TextBody"/>
        <w:bidi w:val="0"/>
        <w:spacing w:before="240" w:after="0"/>
        <w:jc w:val="center"/>
        <w:rPr>
          <w:rFonts w:ascii="Times New Roman" w:hAnsi="Times New Roman"/>
          <w:b/>
          <w:sz w:val="20"/>
        </w:rPr>
      </w:pPr>
      <w:r>
        <w:rPr>
          <w:rFonts w:ascii="Times New Roman" w:hAnsi="Times New Roman"/>
          <w:b/>
          <w:sz w:val="20"/>
        </w:rPr>
        <w:t xml:space="preserve">CBIZ, Inc. 2007 Amended and Restated Employee Stock Purchase Plan, as amended (“ESPP”) </w:t>
      </w:r>
    </w:p>
    <w:p>
      <w:pPr>
        <w:pStyle w:val="TextBody"/>
        <w:bidi w:val="0"/>
        <w:spacing w:before="240" w:after="0"/>
        <w:jc w:val="center"/>
        <w:rPr>
          <w:rFonts w:ascii="Times New Roman" w:hAnsi="Times New Roman"/>
          <w:sz w:val="20"/>
        </w:rPr>
      </w:pPr>
      <w:r>
        <w:rPr>
          <w:rFonts w:ascii="Times New Roman" w:hAnsi="Times New Roman"/>
          <w:sz w:val="20"/>
        </w:rPr>
        <w:t xml:space="preserve">Relating to the Rescission Offer by CBIZ, Inc. (“CBIZ”) </w:t>
      </w:r>
    </w:p>
    <w:p>
      <w:pPr>
        <w:pStyle w:val="TextBody"/>
        <w:bidi w:val="0"/>
        <w:spacing w:before="0" w:after="0"/>
        <w:jc w:val="center"/>
        <w:rPr>
          <w:rFonts w:ascii="Times New Roman" w:hAnsi="Times New Roman"/>
          <w:sz w:val="20"/>
        </w:rPr>
      </w:pPr>
      <w:r>
        <w:rPr>
          <w:rFonts w:ascii="Times New Roman" w:hAnsi="Times New Roman"/>
          <w:sz w:val="20"/>
        </w:rPr>
        <w:t xml:space="preserve">Pursuant to the Prospectus Dated August 6, 2026 </w:t>
      </w:r>
    </w:p>
    <w:p>
      <w:pPr>
        <w:pStyle w:val="TextBody"/>
        <w:bidi w:val="0"/>
        <w:spacing w:before="0" w:after="0"/>
        <w:jc w:val="left"/>
        <w:rPr/>
      </w:pPr>
      <w:r>
        <w:rPr/>
        <w:t> </w:t>
      </w:r>
    </w:p>
    <w:p>
      <w:pPr>
        <w:pStyle w:val="TextBody"/>
        <w:pBdr/>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THE RESCISSION OFFER WILL EXPIRE AT </w:t>
      </w:r>
    </w:p>
    <w:p>
      <w:pPr>
        <w:pStyle w:val="TextBody"/>
        <w:pBdr/>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5:00 P.M., EASTERN TIME, ON SEPTEMBER 8, 2026. </w:t>
      </w:r>
    </w:p>
    <w:p>
      <w:pPr>
        <w:pStyle w:val="TextBody"/>
        <w:bidi w:val="0"/>
        <w:spacing w:before="240" w:after="0"/>
        <w:jc w:val="center"/>
        <w:rPr>
          <w:rFonts w:ascii="Times New Roman" w:hAnsi="Times New Roman"/>
          <w:b/>
          <w:sz w:val="20"/>
        </w:rPr>
      </w:pPr>
      <w:r>
        <w:rPr>
          <w:rFonts w:ascii="Times New Roman" w:hAnsi="Times New Roman"/>
          <w:b/>
          <w:sz w:val="20"/>
        </w:rPr>
        <w:t xml:space="preserve">All questions regarding the Rescission Offer should be directed to SOS at (615) 994-8665 or via email at CBIZ_RescissionOffer@sos-team.com. </w:t>
      </w:r>
    </w:p>
    <w:p>
      <w:pPr>
        <w:pStyle w:val="TextBody"/>
        <w:bidi w:val="0"/>
        <w:spacing w:before="240" w:after="0"/>
        <w:jc w:val="center"/>
        <w:rPr>
          <w:rFonts w:ascii="Times New Roman" w:hAnsi="Times New Roman"/>
          <w:sz w:val="20"/>
        </w:rPr>
      </w:pPr>
      <w:r>
        <w:rPr>
          <w:rFonts w:ascii="Times New Roman" w:hAnsi="Times New Roman"/>
          <w:sz w:val="20"/>
        </w:rPr>
        <w:t xml:space="preserve">YOU MAY ELECT TO ACCEPT OR REJECT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w:t>
      </w:r>
      <w:r>
        <w:rPr>
          <w:rFonts w:ascii="Times New Roman" w:hAnsi="Times New Roman"/>
          <w:b/>
          <w:sz w:val="20"/>
        </w:rPr>
        <w:t>REJECT</w:t>
      </w:r>
      <w:r>
        <w:rPr>
          <w:rFonts w:ascii="Times New Roman" w:hAnsi="Times New Roman"/>
          <w:sz w:val="20"/>
        </w:rPr>
        <w:t xml:space="preserve"> THE RESCISSION OFFER, </w:t>
      </w:r>
      <w:r>
        <w:rPr>
          <w:rFonts w:ascii="Times New Roman" w:hAnsi="Times New Roman"/>
          <w:b/>
          <w:sz w:val="20"/>
        </w:rPr>
        <w:t>DO NOT RETURN THIS FORM</w:t>
      </w:r>
      <w:r>
        <w:rPr>
          <w:rFonts w:ascii="Times New Roman" w:hAnsi="Times New Roman"/>
          <w:sz w:val="20"/>
        </w:rPr>
        <w:t xml:space="preserve">. YOU DO NOT NEED TO DO ANYTHING TO REJECT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w:t>
      </w:r>
      <w:r>
        <w:rPr>
          <w:rFonts w:ascii="Times New Roman" w:hAnsi="Times New Roman"/>
          <w:b/>
          <w:sz w:val="20"/>
        </w:rPr>
        <w:t>ACCEPT</w:t>
      </w:r>
      <w:r>
        <w:rPr>
          <w:rFonts w:ascii="Times New Roman" w:hAnsi="Times New Roman"/>
          <w:sz w:val="20"/>
        </w:rPr>
        <w:t xml:space="preserve"> THE RESCISSION OFFER, PLEASE COMPLETE, SIGN AND RETURN THIS FORM ALONG WITH ANY ADDITIONAL DOCUMENTATION REQUESTED IN THE ELECTION FORM </w:t>
      </w:r>
      <w:r>
        <w:rPr>
          <w:rFonts w:ascii="Times New Roman" w:hAnsi="Times New Roman"/>
          <w:b/>
          <w:sz w:val="20"/>
        </w:rPr>
        <w:t>PRIOR TO 5:00 P.M., EASTERN TIME, ON SEPTEMBER</w:t>
      </w:r>
      <w:r>
        <w:rPr>
          <w:rFonts w:ascii="Times New Roman" w:hAnsi="Times New Roman"/>
          <w:sz w:val="20"/>
        </w:rPr>
        <w:t> </w:t>
      </w:r>
      <w:r>
        <w:rPr>
          <w:rFonts w:ascii="Times New Roman" w:hAnsi="Times New Roman"/>
          <w:b/>
          <w:sz w:val="20"/>
        </w:rPr>
        <w:t>8, 2026</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WE URGE YOU TO REVIEW CBIZ, INC.’S (THE “COMPANY,” “CBIZ,” “WE” OR “US”) PROSPECTUS DATED AUGUST 6, 2026 (THE “PROSPECTUS”), CAREFULLY BEFORE DECIDING WHETHER TO ACCEPT OR REJECT THE RESCISSION OFFER.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Instructions: </w:t>
      </w:r>
    </w:p>
    <w:p>
      <w:pPr>
        <w:pStyle w:val="TextBody"/>
        <w:bidi w:val="0"/>
        <w:spacing w:before="240" w:after="0"/>
        <w:jc w:val="left"/>
        <w:rPr>
          <w:rFonts w:ascii="Times New Roman" w:hAnsi="Times New Roman"/>
          <w:sz w:val="20"/>
        </w:rPr>
      </w:pPr>
      <w:r>
        <w:rPr>
          <w:rFonts w:ascii="Times New Roman" w:hAnsi="Times New Roman"/>
          <w:sz w:val="20"/>
        </w:rPr>
        <w:t xml:space="preserve">The Election Form is comprised of Part I, Part II and Part III (which includes a signature page). Additionally, instructions on how to modify your election or withdraw your election are outlined in Appendix A. </w:t>
      </w:r>
    </w:p>
    <w:p>
      <w:pPr>
        <w:pStyle w:val="TextBody"/>
        <w:bidi w:val="0"/>
        <w:spacing w:before="240" w:after="0"/>
        <w:jc w:val="left"/>
        <w:rPr>
          <w:rFonts w:ascii="Times New Roman" w:hAnsi="Times New Roman"/>
          <w:sz w:val="20"/>
        </w:rPr>
      </w:pPr>
      <w:r>
        <w:rPr>
          <w:rFonts w:ascii="Times New Roman" w:hAnsi="Times New Roman"/>
          <w:sz w:val="20"/>
        </w:rPr>
        <w:t xml:space="preserve">In order to properly submit this Election Form, you must (1) complete the information in each part, as required, (2) provide the information requested on the signature page and (3) execute the Election Form and submit all ancillary documents as requested in Part I.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Return a scanned copy of your completed Election Form and supporting documentation </w:t>
      </w:r>
    </w:p>
    <w:p>
      <w:pPr>
        <w:pStyle w:val="TextBody"/>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to Stock &amp; Options Solutions, an Allshares company (“SOS”) via email at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CBIZ_RescissionOffer@sos-team.com. </w:t>
      </w:r>
    </w:p>
    <w:p>
      <w:pPr>
        <w:pStyle w:val="TextBody"/>
        <w:bidi w:val="0"/>
        <w:spacing w:before="240" w:after="0"/>
        <w:jc w:val="left"/>
        <w:rPr>
          <w:rFonts w:ascii="Times New Roman" w:hAnsi="Times New Roman"/>
          <w:sz w:val="20"/>
        </w:rPr>
      </w:pPr>
      <w:r>
        <w:rPr>
          <w:rFonts w:ascii="Times New Roman" w:hAnsi="Times New Roman"/>
          <w:sz w:val="20"/>
        </w:rPr>
        <w:t xml:space="preserve">SOS intends to confirm receipt of each completed Election Form in due course. If you do not receive a timely confirmation, please send contact SOS to request assistance.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RESCISSION OFFER ELECTION FORM </w:t>
      </w:r>
    </w:p>
    <w:p>
      <w:pPr>
        <w:pStyle w:val="TextBody"/>
        <w:bidi w:val="0"/>
        <w:spacing w:before="0" w:after="0"/>
        <w:jc w:val="center"/>
        <w:rPr>
          <w:rFonts w:ascii="Times New Roman" w:hAnsi="Times New Roman"/>
          <w:b/>
          <w:sz w:val="20"/>
        </w:rPr>
      </w:pPr>
      <w:r>
        <w:rPr>
          <w:rFonts w:ascii="Times New Roman" w:hAnsi="Times New Roman"/>
          <w:b/>
          <w:sz w:val="20"/>
        </w:rPr>
        <w:t xml:space="preserve">FOR SHARES TRANSFERRED OUT OF COMPUTERSHARE </w:t>
      </w:r>
    </w:p>
    <w:p>
      <w:pPr>
        <w:pStyle w:val="TextBody"/>
        <w:bidi w:val="0"/>
        <w:spacing w:before="120" w:after="0"/>
        <w:jc w:val="center"/>
        <w:rPr>
          <w:rFonts w:ascii="Times New Roman" w:hAnsi="Times New Roman"/>
          <w:sz w:val="20"/>
        </w:rPr>
      </w:pPr>
      <w:r>
        <w:rPr>
          <w:rFonts w:ascii="Times New Roman" w:hAnsi="Times New Roman"/>
          <w:i/>
          <w:sz w:val="20"/>
        </w:rPr>
        <w:t xml:space="preserve">Note: This Form is to be completed </w:t>
      </w:r>
      <w:r>
        <w:rPr>
          <w:rFonts w:ascii="Times New Roman" w:hAnsi="Times New Roman"/>
          <w:b/>
          <w:i/>
          <w:sz w:val="20"/>
        </w:rPr>
        <w:t>only</w:t>
      </w:r>
      <w:r>
        <w:rPr>
          <w:rFonts w:ascii="Times New Roman" w:hAnsi="Times New Roman"/>
          <w:sz w:val="20"/>
        </w:rPr>
        <w:t xml:space="preserve"> </w:t>
      </w:r>
      <w:r>
        <w:rPr>
          <w:rFonts w:ascii="Times New Roman" w:hAnsi="Times New Roman"/>
          <w:i/>
          <w:sz w:val="20"/>
        </w:rPr>
        <w:t>if you wish to elect to participate in the Rescission Offer with respect to any of the lots of shares shown on EquatePlus under the heading “3. Shares Transferred to an External Broker.”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i/>
          <w:sz w:val="20"/>
        </w:rPr>
        <w:t xml:space="preserve">If no CBIZ shares are shown under such heading, you </w:t>
      </w:r>
      <w:r>
        <w:rPr>
          <w:rFonts w:ascii="Times New Roman" w:hAnsi="Times New Roman"/>
          <w:b/>
          <w:i/>
          <w:sz w:val="20"/>
        </w:rPr>
        <w:t>do not</w:t>
      </w:r>
      <w:r>
        <w:rPr>
          <w:rFonts w:ascii="Times New Roman" w:hAnsi="Times New Roman"/>
          <w:sz w:val="20"/>
        </w:rPr>
        <w:t xml:space="preserve"> </w:t>
      </w:r>
      <w:r>
        <w:rPr>
          <w:rFonts w:ascii="Times New Roman" w:hAnsi="Times New Roman"/>
          <w:i/>
          <w:sz w:val="20"/>
        </w:rPr>
        <w:t>need to complete and submit this Election Form.</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PART I. Election – Check all applicable boxes.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hereby elects to accept the Rescission Offer with respect to certain shares of common stock of CBIZ purchased pursuant to the ESPP between October 16, 2023 to April 15, 2026 (the “Eligible Shares”) and subject to the terms and conditions of the Rescission Offer and the instructions set forth below, which were transferred to a broker or nominee that is not Computershare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w:t>
            </w:r>
            <w:r>
              <w:rPr>
                <w:rFonts w:ascii="Times New Roman" w:hAnsi="Times New Roman"/>
                <w:b/>
                <w:sz w:val="20"/>
              </w:rPr>
              <w:t>currently held</w:t>
            </w:r>
            <w:r>
              <w:rPr>
                <w:rFonts w:ascii="Times New Roman" w:hAnsi="Times New Roman"/>
                <w:sz w:val="20"/>
              </w:rPr>
              <w:t xml:space="preserve"> by the undersigned in an individual brokerage account.</w:t>
            </w:r>
            <w:r>
              <w:rPr>
                <w:rFonts w:ascii="Times New Roman" w:hAnsi="Times New Roman"/>
                <w:sz w:val="13"/>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were subsequently </w:t>
            </w:r>
            <w:r>
              <w:rPr>
                <w:rFonts w:ascii="Times New Roman" w:hAnsi="Times New Roman"/>
                <w:b/>
                <w:sz w:val="20"/>
              </w:rPr>
              <w:t>sold at a loss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 If you check this box, you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the table in </w:t>
            </w:r>
            <w:r>
              <w:rPr>
                <w:rFonts w:ascii="Times New Roman" w:hAnsi="Times New Roman"/>
                <w:sz w:val="20"/>
                <w:u w:val="single"/>
              </w:rPr>
              <w:t>Part II.A.</w:t>
            </w:r>
            <w:r>
              <w:rPr>
                <w:rFonts w:ascii="Times New Roman" w:hAnsi="Times New Roman"/>
                <w:sz w:val="20"/>
              </w:rPr>
              <w:t xml:space="preserve"> for the lot(s) of shares for which you wish to accept the rescission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proof reasonably satisfactory to CBIZ evidencing (a) that you hold such shares as of the date of this Election Form and (b) that you held such shares prior to the commencement of the Rescission Offer with your completed and executed Election Form,1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contact your broker or nominee promptly and instruct it to transfer the Eligible Shares that you wish to rescind in your name at Computershare via the Direct Registration System (“DRS”).2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 If you check this box, you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the table in </w:t>
            </w:r>
            <w:r>
              <w:rPr>
                <w:rFonts w:ascii="Times New Roman" w:hAnsi="Times New Roman"/>
                <w:sz w:val="20"/>
                <w:u w:val="single"/>
              </w:rPr>
              <w:t>Part II.A.</w:t>
            </w:r>
            <w:r>
              <w:rPr>
                <w:rFonts w:ascii="Times New Roman" w:hAnsi="Times New Roman"/>
                <w:sz w:val="20"/>
              </w:rPr>
              <w:t xml:space="preserve"> for the lot(s) of shares for which you wish to accept the rescission offer (both those you currently hold and have sold at a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the table in </w:t>
            </w:r>
            <w:r>
              <w:rPr>
                <w:rFonts w:ascii="Times New Roman" w:hAnsi="Times New Roman"/>
                <w:sz w:val="20"/>
                <w:u w:val="single"/>
              </w:rPr>
              <w:t>Part II.B.</w:t>
            </w:r>
            <w:r>
              <w:rPr>
                <w:rFonts w:ascii="Times New Roman" w:hAnsi="Times New Roman"/>
                <w:sz w:val="20"/>
              </w:rPr>
              <w:t xml:space="preserve"> for the lot(s) of shares that you have </w:t>
            </w:r>
            <w:r>
              <w:rPr>
                <w:rFonts w:ascii="Times New Roman" w:hAnsi="Times New Roman"/>
                <w:b/>
                <w:sz w:val="20"/>
              </w:rPr>
              <w:t>sold at a loss</w:t>
            </w:r>
            <w:r>
              <w:rPr>
                <w:rFonts w:ascii="Times New Roman" w:hAnsi="Times New Roman"/>
                <w:sz w:val="20"/>
              </w:rPr>
              <w:t xml:space="preserve"> for which you wish to accept the rescission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proof reasonably satisfactory to CBIZ evidencing the sale price and amount of such shares.3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proof may take the form of a receipt or transaction or confirmation statement from the broker, dealer, or other person showing that you currently hold the shares and that the shares were held on your behalf prior to the commencement of the Rescission Offer.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deliver shares to Computershare by the Expiration Date will be deemed a rejection of the Rescission Offer even if you have returned an Election Form.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proof may take the form of a receipt or transaction or confirmation statement from the broker, dealer, or other person conducting the sale, and may include confirmation of shares sold on official broker letterhead that details the sale price, IRS Form 1099-B showing the sales proceeds or transactional statements on your broker’s letterhead.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PART II. </w:t>
      </w:r>
    </w:p>
    <w:p>
      <w:pPr>
        <w:pStyle w:val="TextBody"/>
        <w:bidi w:val="0"/>
        <w:spacing w:before="240" w:after="0"/>
        <w:jc w:val="left"/>
        <w:rPr>
          <w:rFonts w:ascii="Times New Roman" w:hAnsi="Times New Roman"/>
          <w:b/>
          <w:sz w:val="20"/>
        </w:rPr>
      </w:pPr>
      <w:r>
        <w:rPr>
          <w:rFonts w:ascii="Times New Roman" w:hAnsi="Times New Roman"/>
          <w:b/>
          <w:sz w:val="20"/>
        </w:rPr>
        <w:t xml:space="preserve">A. For all Eligible Shares you wish to rescind (including Eligible Shares previously sold), provide the following information: </w:t>
      </w:r>
    </w:p>
    <w:p>
      <w:pPr>
        <w:pStyle w:val="TextBody"/>
        <w:bidi w:val="0"/>
        <w:spacing w:before="120" w:after="0"/>
        <w:jc w:val="center"/>
        <w:rPr>
          <w:rFonts w:ascii="Times New Roman" w:hAnsi="Times New Roman"/>
          <w:sz w:val="20"/>
        </w:rPr>
      </w:pPr>
      <w:r>
        <w:rPr>
          <w:rFonts w:ascii="Times New Roman" w:hAnsi="Times New Roman"/>
          <w:b/>
          <w:i/>
          <w:sz w:val="20"/>
        </w:rPr>
        <w:t>Note</w:t>
      </w:r>
      <w:r>
        <w:rPr>
          <w:rFonts w:ascii="Times New Roman" w:hAnsi="Times New Roman"/>
          <w:i/>
          <w:sz w:val="20"/>
        </w:rPr>
        <w:t xml:space="preserve">: Every participant completing and submitting this election form </w:t>
      </w:r>
      <w:r>
        <w:rPr>
          <w:rFonts w:ascii="Times New Roman" w:hAnsi="Times New Roman"/>
          <w:b/>
          <w:i/>
          <w:sz w:val="20"/>
        </w:rPr>
        <w:t>MUST</w:t>
      </w:r>
      <w:r>
        <w:rPr>
          <w:rFonts w:ascii="Times New Roman" w:hAnsi="Times New Roman"/>
          <w:sz w:val="20"/>
        </w:rPr>
        <w:t xml:space="preserve"> </w:t>
      </w:r>
      <w:r>
        <w:rPr>
          <w:rFonts w:ascii="Times New Roman" w:hAnsi="Times New Roman"/>
          <w:i/>
          <w:sz w:val="20"/>
        </w:rPr>
        <w:t xml:space="preserve">complete the chart below. </w:t>
      </w:r>
    </w:p>
    <w:p>
      <w:pPr>
        <w:pStyle w:val="TextBody"/>
        <w:bidi w:val="0"/>
        <w:spacing w:before="0" w:after="0"/>
        <w:jc w:val="center"/>
        <w:rPr>
          <w:rFonts w:ascii="Times New Roman" w:hAnsi="Times New Roman"/>
          <w:sz w:val="20"/>
        </w:rPr>
      </w:pPr>
      <w:r>
        <w:rPr>
          <w:rFonts w:ascii="Times New Roman" w:hAnsi="Times New Roman"/>
          <w:i/>
          <w:sz w:val="20"/>
        </w:rPr>
        <w:t>Use the information from EquatePlus under the heading “3.</w:t>
      </w:r>
      <w:r>
        <w:rPr>
          <w:rFonts w:ascii="Times New Roman" w:hAnsi="Times New Roman"/>
          <w:sz w:val="20"/>
        </w:rPr>
        <w:t> </w:t>
      </w:r>
      <w:r>
        <w:rPr>
          <w:rFonts w:ascii="Times New Roman" w:hAnsi="Times New Roman"/>
          <w:i/>
          <w:sz w:val="20"/>
        </w:rPr>
        <w:t>Shares Transferred to an External Broker” to complete this chart</w:t>
      </w:r>
      <w:r>
        <w:rPr>
          <w:rFonts w:ascii="Times New Roman" w:hAnsi="Times New Roman"/>
          <w:sz w:val="20"/>
        </w:rPr>
        <w:t xml:space="preserve">. </w:t>
      </w:r>
      <w:r>
        <w:rPr>
          <w:rFonts w:ascii="Times New Roman" w:hAnsi="Times New Roman"/>
          <w:b/>
          <w:i/>
          <w:sz w:val="20"/>
        </w:rPr>
        <w:t>Attach additional pages if more lines are needed.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90"/>
        <w:gridCol w:w="125"/>
        <w:gridCol w:w="60"/>
        <w:gridCol w:w="1769"/>
        <w:gridCol w:w="60"/>
        <w:gridCol w:w="125"/>
        <w:gridCol w:w="144"/>
        <w:gridCol w:w="1070"/>
        <w:gridCol w:w="60"/>
        <w:gridCol w:w="125"/>
        <w:gridCol w:w="65"/>
        <w:gridCol w:w="1106"/>
        <w:gridCol w:w="60"/>
        <w:gridCol w:w="124"/>
        <w:gridCol w:w="64"/>
        <w:gridCol w:w="1093"/>
        <w:gridCol w:w="60"/>
        <w:gridCol w:w="125"/>
        <w:gridCol w:w="60"/>
        <w:gridCol w:w="1769"/>
        <w:gridCol w:w="60"/>
        <w:gridCol w:w="125"/>
        <w:gridCol w:w="230"/>
        <w:gridCol w:w="565"/>
        <w:gridCol w:w="71"/>
      </w:tblGrid>
      <w:tr>
        <w:trPr/>
        <w:tc>
          <w:tcPr>
            <w:tcW w:w="10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1090" w:type="dxa"/>
            <w:tcBorders/>
            <w:vAlign w:val="bottom"/>
          </w:tcPr>
          <w:p>
            <w:pPr>
              <w:pStyle w:val="TableContents"/>
              <w:bidi w:val="0"/>
              <w:spacing w:before="0" w:after="0"/>
              <w:jc w:val="center"/>
              <w:rPr>
                <w:rFonts w:ascii="Times New Roman" w:hAnsi="Times New Roman"/>
                <w:sz w:val="16"/>
                <w:u w:val="single"/>
              </w:rPr>
            </w:pPr>
            <w:r>
              <w:rPr>
                <w:rFonts w:ascii="Times New Roman" w:hAnsi="Times New Roman"/>
                <w:sz w:val="16"/>
                <w:u w:val="single"/>
              </w:rPr>
              <w:t>Allocation</w:t>
            </w:r>
          </w:p>
          <w:p>
            <w:pPr>
              <w:pStyle w:val="TableContents"/>
              <w:bidi w:val="0"/>
              <w:spacing w:before="0" w:after="20"/>
              <w:jc w:val="center"/>
              <w:rPr>
                <w:rFonts w:ascii="Times New Roman" w:hAnsi="Times New Roman"/>
                <w:sz w:val="16"/>
                <w:u w:val="single"/>
              </w:rPr>
            </w:pPr>
            <w:r>
              <w:rPr>
                <w:rFonts w:ascii="Times New Roman" w:hAnsi="Times New Roman"/>
                <w:sz w:val="16"/>
                <w:u w:val="single"/>
              </w:rPr>
              <w:t>Sequence</w:t>
            </w:r>
          </w:p>
        </w:tc>
        <w:tc>
          <w:tcPr>
            <w:tcW w:w="125" w:type="dxa"/>
            <w:tcBorders/>
            <w:vAlign w:val="bottom"/>
          </w:tcPr>
          <w:p>
            <w:pPr>
              <w:pStyle w:val="TableContents"/>
              <w:bidi w:val="0"/>
              <w:spacing w:before="0" w:after="283"/>
              <w:jc w:val="left"/>
              <w:rPr/>
            </w:pPr>
            <w:r>
              <w:rPr/>
              <w:t>  </w:t>
            </w:r>
          </w:p>
        </w:tc>
        <w:tc>
          <w:tcPr>
            <w:tcW w:w="1829" w:type="dxa"/>
            <w:gridSpan w:val="2"/>
            <w:tcBorders/>
            <w:vAlign w:val="center"/>
          </w:tcPr>
          <w:p>
            <w:pPr>
              <w:pStyle w:val="TableContents"/>
              <w:bidi w:val="0"/>
              <w:spacing w:before="0" w:after="283"/>
              <w:jc w:val="center"/>
              <w:rPr>
                <w:u w:val="single"/>
              </w:rPr>
            </w:pPr>
            <w:r>
              <w:rPr>
                <w:u w:val="single"/>
              </w:rPr>
              <w:t>Purchase Date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283"/>
              <w:jc w:val="center"/>
              <w:rPr>
                <w:u w:val="single"/>
              </w:rPr>
            </w:pPr>
            <w:r>
              <w:rPr>
                <w:u w:val="single"/>
              </w:rPr>
              <w:t>Purchase</w:t>
              <w:br/>
              <w:t>Price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bidi w:val="0"/>
              <w:spacing w:before="0" w:after="283"/>
              <w:jc w:val="center"/>
              <w:rPr>
                <w:u w:val="single"/>
              </w:rPr>
            </w:pPr>
            <w:r>
              <w:rPr>
                <w:u w:val="single"/>
              </w:rPr>
              <w:t>Transaction</w:t>
              <w:br/>
              <w:t>ID</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bidi w:val="0"/>
              <w:spacing w:before="0" w:after="283"/>
              <w:jc w:val="center"/>
              <w:rPr>
                <w:u w:val="single"/>
              </w:rPr>
            </w:pPr>
            <w:r>
              <w:rPr>
                <w:u w:val="single"/>
              </w:rPr>
              <w:t>Transferred</w:t>
              <w:br/>
              <w:t>Quantity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829" w:type="dxa"/>
            <w:gridSpan w:val="2"/>
            <w:tcBorders/>
            <w:vAlign w:val="center"/>
          </w:tcPr>
          <w:p>
            <w:pPr>
              <w:pStyle w:val="TableContents"/>
              <w:bidi w:val="0"/>
              <w:spacing w:before="0" w:after="283"/>
              <w:jc w:val="center"/>
              <w:rPr>
                <w:u w:val="single"/>
              </w:rPr>
            </w:pPr>
            <w:r>
              <w:rPr>
                <w:u w:val="single"/>
              </w:rPr>
              <w:t>Date Transferred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gridSpan w:val="2"/>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r>
      <w:tr>
        <w:trPr/>
        <w:tc>
          <w:tcPr>
            <w:tcW w:w="1090" w:type="dxa"/>
            <w:tcBorders/>
            <w:vAlign w:val="center"/>
          </w:tcPr>
          <w:p>
            <w:pPr>
              <w:pStyle w:val="TableContents"/>
              <w:bidi w:val="0"/>
              <w:spacing w:before="0" w:after="0"/>
              <w:jc w:val="left"/>
              <w:rPr>
                <w:u w:val="single"/>
              </w:rPr>
            </w:pPr>
            <w:r>
              <w:rPr>
                <w:u w:val="single"/>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u w:val="single"/>
              </w:rPr>
              <w:t>    </w:t>
            </w: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jc w:val="left"/>
              <w:rPr/>
            </w:pPr>
            <w:r>
              <w:rPr/>
              <w:t>☐</w:t>
            </w:r>
          </w:p>
          <w:p>
            <w:pPr>
              <w:pStyle w:val="TableContents"/>
              <w:bidi w:val="0"/>
              <w:spacing w:before="0" w:after="20"/>
              <w:jc w:val="left"/>
              <w:rPr/>
            </w:pPr>
            <w:r>
              <w:rPr/>
              <w:t>☐</w:t>
            </w:r>
          </w:p>
        </w:tc>
        <w:tc>
          <w:tcPr>
            <w:tcW w:w="565" w:type="dxa"/>
            <w:tcBorders/>
            <w:vAlign w:val="bottom"/>
          </w:tcPr>
          <w:p>
            <w:pPr>
              <w:pStyle w:val="TableContents"/>
              <w:bidi w:val="0"/>
              <w:jc w:val="right"/>
              <w:rPr/>
            </w:pPr>
            <w:r>
              <w:rPr/>
              <w:t> </w:t>
            </w:r>
            <w:r>
              <w:rPr/>
              <w:t>Held</w:t>
            </w:r>
          </w:p>
          <w:p>
            <w:pPr>
              <w:pStyle w:val="TableContents"/>
              <w:bidi w:val="0"/>
              <w:spacing w:before="0" w:after="20"/>
              <w:jc w:val="right"/>
              <w:rPr/>
            </w:pPr>
            <w:r>
              <w:rPr/>
              <w:t> </w:t>
            </w:r>
            <w:r>
              <w:rPr>
                <w:rFonts w:ascii="Times New Roman" w:hAnsi="Times New Roman"/>
                <w:sz w:val="20"/>
              </w:rPr>
              <w:t>Sold</w:t>
            </w:r>
          </w:p>
        </w:tc>
        <w:tc>
          <w:tcPr>
            <w:tcW w:w="71"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1090" w:type="dxa"/>
            <w:tcBorders/>
            <w:vAlign w:val="center"/>
          </w:tcPr>
          <w:p>
            <w:pPr>
              <w:pStyle w:val="TableContents"/>
              <w:bidi w:val="0"/>
              <w:spacing w:before="0" w:after="0"/>
              <w:jc w:val="left"/>
              <w:rPr>
                <w:u w:val="single"/>
              </w:rPr>
            </w:pPr>
            <w:r>
              <w:rPr>
                <w:u w:val="single"/>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u w:val="single"/>
              </w:rPr>
              <w:t>    </w:t>
            </w: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jc w:val="left"/>
              <w:rPr/>
            </w:pPr>
            <w:r>
              <w:rPr/>
              <w:t>☐</w:t>
            </w:r>
          </w:p>
          <w:p>
            <w:pPr>
              <w:pStyle w:val="TableContents"/>
              <w:bidi w:val="0"/>
              <w:spacing w:before="0" w:after="20"/>
              <w:jc w:val="left"/>
              <w:rPr/>
            </w:pPr>
            <w:r>
              <w:rPr/>
              <w:t>☐</w:t>
            </w:r>
          </w:p>
        </w:tc>
        <w:tc>
          <w:tcPr>
            <w:tcW w:w="565" w:type="dxa"/>
            <w:tcBorders/>
            <w:vAlign w:val="bottom"/>
          </w:tcPr>
          <w:p>
            <w:pPr>
              <w:pStyle w:val="TableContents"/>
              <w:bidi w:val="0"/>
              <w:jc w:val="right"/>
              <w:rPr/>
            </w:pPr>
            <w:r>
              <w:rPr/>
              <w:t> </w:t>
            </w:r>
            <w:r>
              <w:rPr/>
              <w:t>Held</w:t>
            </w:r>
          </w:p>
          <w:p>
            <w:pPr>
              <w:pStyle w:val="TableContents"/>
              <w:bidi w:val="0"/>
              <w:spacing w:before="0" w:after="20"/>
              <w:jc w:val="right"/>
              <w:rPr/>
            </w:pPr>
            <w:r>
              <w:rPr/>
              <w:t> </w:t>
            </w:r>
            <w:r>
              <w:rPr>
                <w:rFonts w:ascii="Times New Roman" w:hAnsi="Times New Roman"/>
                <w:sz w:val="20"/>
              </w:rPr>
              <w:t>Sold</w:t>
            </w:r>
          </w:p>
        </w:tc>
        <w:tc>
          <w:tcPr>
            <w:tcW w:w="71"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1090" w:type="dxa"/>
            <w:tcBorders/>
            <w:vAlign w:val="center"/>
          </w:tcPr>
          <w:p>
            <w:pPr>
              <w:pStyle w:val="TableContents"/>
              <w:bidi w:val="0"/>
              <w:spacing w:before="0" w:after="0"/>
              <w:jc w:val="left"/>
              <w:rPr>
                <w:u w:val="single"/>
              </w:rPr>
            </w:pPr>
            <w:r>
              <w:rPr>
                <w:u w:val="single"/>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u w:val="single"/>
              </w:rPr>
              <w:t>    </w:t>
            </w: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jc w:val="left"/>
              <w:rPr/>
            </w:pPr>
            <w:r>
              <w:rPr/>
              <w:t>☐</w:t>
            </w:r>
          </w:p>
          <w:p>
            <w:pPr>
              <w:pStyle w:val="TableContents"/>
              <w:bidi w:val="0"/>
              <w:spacing w:before="0" w:after="20"/>
              <w:jc w:val="left"/>
              <w:rPr/>
            </w:pPr>
            <w:r>
              <w:rPr/>
              <w:t>☐</w:t>
            </w:r>
          </w:p>
        </w:tc>
        <w:tc>
          <w:tcPr>
            <w:tcW w:w="565" w:type="dxa"/>
            <w:tcBorders/>
            <w:vAlign w:val="bottom"/>
          </w:tcPr>
          <w:p>
            <w:pPr>
              <w:pStyle w:val="TableContents"/>
              <w:bidi w:val="0"/>
              <w:jc w:val="right"/>
              <w:rPr/>
            </w:pPr>
            <w:r>
              <w:rPr/>
              <w:t> </w:t>
            </w:r>
            <w:r>
              <w:rPr/>
              <w:t>Held</w:t>
            </w:r>
          </w:p>
          <w:p>
            <w:pPr>
              <w:pStyle w:val="TableContents"/>
              <w:bidi w:val="0"/>
              <w:spacing w:before="0" w:after="20"/>
              <w:jc w:val="right"/>
              <w:rPr/>
            </w:pPr>
            <w:r>
              <w:rPr/>
              <w:t> </w:t>
            </w:r>
            <w:r>
              <w:rPr>
                <w:rFonts w:ascii="Times New Roman" w:hAnsi="Times New Roman"/>
                <w:sz w:val="20"/>
              </w:rPr>
              <w:t>Sold</w:t>
            </w:r>
          </w:p>
        </w:tc>
        <w:tc>
          <w:tcPr>
            <w:tcW w:w="71"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1090" w:type="dxa"/>
            <w:tcBorders/>
            <w:vAlign w:val="center"/>
          </w:tcPr>
          <w:p>
            <w:pPr>
              <w:pStyle w:val="TableContents"/>
              <w:bidi w:val="0"/>
              <w:spacing w:before="0" w:after="0"/>
              <w:jc w:val="left"/>
              <w:rPr>
                <w:u w:val="single"/>
              </w:rPr>
            </w:pPr>
            <w:r>
              <w:rPr>
                <w:u w:val="single"/>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u w:val="single"/>
              </w:rPr>
              <w:t>    </w:t>
            </w: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jc w:val="left"/>
              <w:rPr/>
            </w:pPr>
            <w:r>
              <w:rPr/>
              <w:t>☐</w:t>
            </w:r>
          </w:p>
          <w:p>
            <w:pPr>
              <w:pStyle w:val="TableContents"/>
              <w:bidi w:val="0"/>
              <w:spacing w:before="0" w:after="20"/>
              <w:jc w:val="left"/>
              <w:rPr/>
            </w:pPr>
            <w:r>
              <w:rPr/>
              <w:t>☐</w:t>
            </w:r>
          </w:p>
        </w:tc>
        <w:tc>
          <w:tcPr>
            <w:tcW w:w="565" w:type="dxa"/>
            <w:tcBorders/>
            <w:vAlign w:val="bottom"/>
          </w:tcPr>
          <w:p>
            <w:pPr>
              <w:pStyle w:val="TableContents"/>
              <w:bidi w:val="0"/>
              <w:jc w:val="right"/>
              <w:rPr/>
            </w:pPr>
            <w:r>
              <w:rPr/>
              <w:t> </w:t>
            </w:r>
            <w:r>
              <w:rPr/>
              <w:t>Held</w:t>
            </w:r>
          </w:p>
          <w:p>
            <w:pPr>
              <w:pStyle w:val="TableContents"/>
              <w:bidi w:val="0"/>
              <w:spacing w:before="0" w:after="20"/>
              <w:jc w:val="right"/>
              <w:rPr/>
            </w:pPr>
            <w:r>
              <w:rPr/>
              <w:t> </w:t>
            </w:r>
            <w:r>
              <w:rPr>
                <w:rFonts w:ascii="Times New Roman" w:hAnsi="Times New Roman"/>
                <w:sz w:val="20"/>
              </w:rPr>
              <w:t>Sold</w:t>
            </w:r>
          </w:p>
        </w:tc>
        <w:tc>
          <w:tcPr>
            <w:tcW w:w="71"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1090" w:type="dxa"/>
            <w:tcBorders/>
            <w:vAlign w:val="center"/>
          </w:tcPr>
          <w:p>
            <w:pPr>
              <w:pStyle w:val="TableContents"/>
              <w:bidi w:val="0"/>
              <w:spacing w:before="0" w:after="0"/>
              <w:jc w:val="left"/>
              <w:rPr>
                <w:u w:val="single"/>
              </w:rPr>
            </w:pPr>
            <w:r>
              <w:rPr>
                <w:u w:val="single"/>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u w:val="single"/>
              </w:rPr>
              <w:t>    </w:t>
            </w: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jc w:val="left"/>
              <w:rPr/>
            </w:pPr>
            <w:r>
              <w:rPr/>
              <w:t>☐</w:t>
            </w:r>
          </w:p>
          <w:p>
            <w:pPr>
              <w:pStyle w:val="TableContents"/>
              <w:bidi w:val="0"/>
              <w:spacing w:before="0" w:after="20"/>
              <w:jc w:val="left"/>
              <w:rPr/>
            </w:pPr>
            <w:r>
              <w:rPr/>
              <w:t>☐</w:t>
            </w:r>
          </w:p>
        </w:tc>
        <w:tc>
          <w:tcPr>
            <w:tcW w:w="565" w:type="dxa"/>
            <w:tcBorders/>
            <w:vAlign w:val="bottom"/>
          </w:tcPr>
          <w:p>
            <w:pPr>
              <w:pStyle w:val="TableContents"/>
              <w:bidi w:val="0"/>
              <w:jc w:val="right"/>
              <w:rPr/>
            </w:pPr>
            <w:r>
              <w:rPr/>
              <w:t> </w:t>
            </w:r>
            <w:r>
              <w:rPr/>
              <w:t>Held</w:t>
            </w:r>
          </w:p>
          <w:p>
            <w:pPr>
              <w:pStyle w:val="TableContents"/>
              <w:bidi w:val="0"/>
              <w:spacing w:before="0" w:after="20"/>
              <w:jc w:val="right"/>
              <w:rPr/>
            </w:pPr>
            <w:r>
              <w:rPr/>
              <w:t> </w:t>
            </w:r>
            <w:r>
              <w:rPr>
                <w:rFonts w:ascii="Times New Roman" w:hAnsi="Times New Roman"/>
                <w:sz w:val="20"/>
              </w:rPr>
              <w:t>Sold</w:t>
            </w:r>
          </w:p>
        </w:tc>
        <w:tc>
          <w:tcPr>
            <w:tcW w:w="71"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1090" w:type="dxa"/>
            <w:tcBorders/>
            <w:vAlign w:val="center"/>
          </w:tcPr>
          <w:p>
            <w:pPr>
              <w:pStyle w:val="TableContents"/>
              <w:bidi w:val="0"/>
              <w:spacing w:before="0" w:after="0"/>
              <w:jc w:val="left"/>
              <w:rPr>
                <w:u w:val="single"/>
              </w:rPr>
            </w:pPr>
            <w:r>
              <w:rPr>
                <w:u w:val="single"/>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u w:val="single"/>
              </w:rPr>
              <w:t>    </w:t>
            </w: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u w:val="single"/>
              </w:rPr>
            </w:pP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jc w:val="left"/>
              <w:rPr/>
            </w:pPr>
            <w:r>
              <w:rPr/>
              <w:t>☐</w:t>
            </w:r>
          </w:p>
          <w:p>
            <w:pPr>
              <w:pStyle w:val="TableContents"/>
              <w:bidi w:val="0"/>
              <w:spacing w:before="0" w:after="20"/>
              <w:jc w:val="left"/>
              <w:rPr/>
            </w:pPr>
            <w:r>
              <w:rPr/>
              <w:t>☐</w:t>
            </w:r>
          </w:p>
        </w:tc>
        <w:tc>
          <w:tcPr>
            <w:tcW w:w="565" w:type="dxa"/>
            <w:tcBorders/>
            <w:vAlign w:val="bottom"/>
          </w:tcPr>
          <w:p>
            <w:pPr>
              <w:pStyle w:val="TableContents"/>
              <w:bidi w:val="0"/>
              <w:jc w:val="right"/>
              <w:rPr/>
            </w:pPr>
            <w:r>
              <w:rPr/>
              <w:t> </w:t>
            </w:r>
            <w:r>
              <w:rPr/>
              <w:t>Held</w:t>
            </w:r>
          </w:p>
          <w:p>
            <w:pPr>
              <w:pStyle w:val="TableContents"/>
              <w:bidi w:val="0"/>
              <w:spacing w:before="0" w:after="20"/>
              <w:jc w:val="right"/>
              <w:rPr/>
            </w:pPr>
            <w:r>
              <w:rPr/>
              <w:t> </w:t>
            </w:r>
            <w:r>
              <w:rPr>
                <w:rFonts w:ascii="Times New Roman" w:hAnsi="Times New Roman"/>
                <w:sz w:val="20"/>
              </w:rPr>
              <w:t>Sold</w:t>
            </w:r>
          </w:p>
        </w:tc>
        <w:tc>
          <w:tcPr>
            <w:tcW w:w="71" w:type="dxa"/>
            <w:tcBorders/>
            <w:vAlign w:val="bottom"/>
          </w:tcPr>
          <w:p>
            <w:pPr>
              <w:pStyle w:val="TableContents"/>
              <w:bidi w:val="0"/>
              <w:jc w:val="left"/>
              <w:rPr/>
            </w:pPr>
            <w:r>
              <w:rPr/>
              <w:t> </w:t>
            </w:r>
          </w:p>
          <w:p>
            <w:pPr>
              <w:pStyle w:val="TableContents"/>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Total number of Eligible Shares being rescinded:</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r>
        <w:rPr>
          <w:rFonts w:ascii="Times New Roman" w:hAnsi="Times New Roman"/>
          <w:i/>
          <w:sz w:val="20"/>
        </w:rPr>
        <w:t>including Eligible Shares previously sold</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B. Provide the following information if you have sold all or a portion of your Eligible Shares at a loss that you wish to rescind: </w:t>
      </w:r>
    </w:p>
    <w:p>
      <w:pPr>
        <w:pStyle w:val="TextBody"/>
        <w:bidi w:val="0"/>
        <w:spacing w:before="240" w:after="0"/>
        <w:jc w:val="left"/>
        <w:rPr>
          <w:rFonts w:ascii="Times New Roman" w:hAnsi="Times New Roman"/>
          <w:sz w:val="20"/>
        </w:rPr>
      </w:pPr>
      <w:r>
        <w:rPr>
          <w:rFonts w:ascii="Times New Roman" w:hAnsi="Times New Roman"/>
          <w:b/>
          <w:i/>
          <w:sz w:val="20"/>
        </w:rPr>
        <w:t>Note</w:t>
      </w:r>
      <w:r>
        <w:rPr>
          <w:rFonts w:ascii="Times New Roman" w:hAnsi="Times New Roman"/>
          <w:sz w:val="20"/>
        </w:rPr>
        <w:t xml:space="preserve">: </w:t>
      </w:r>
      <w:r>
        <w:rPr>
          <w:rFonts w:ascii="Times New Roman" w:hAnsi="Times New Roman"/>
          <w:i/>
          <w:sz w:val="20"/>
          <w:u w:val="single"/>
        </w:rPr>
        <w:t xml:space="preserve">If you have not sold Eligible Shares at a loss, you do not need to complete the chart below. </w:t>
      </w:r>
      <w:r>
        <w:rPr>
          <w:rFonts w:ascii="Times New Roman" w:hAnsi="Times New Roman"/>
          <w:i/>
          <w:sz w:val="20"/>
        </w:rPr>
        <w:t>Use the information from EquatePlus under the heading “3. Shares Transferred to an External Broker” to complete the columns titled “Allocation Sequence” and “Transaction ID.”</w:t>
      </w:r>
      <w:r>
        <w:rPr>
          <w:rFonts w:ascii="Times New Roman" w:hAnsi="Times New Roman"/>
          <w:sz w:val="20"/>
        </w:rPr>
        <w:t xml:space="preserve"> </w:t>
      </w:r>
      <w:r>
        <w:rPr>
          <w:rFonts w:ascii="Times New Roman" w:hAnsi="Times New Roman"/>
          <w:b/>
          <w:i/>
          <w:sz w:val="20"/>
        </w:rPr>
        <w:t>Attach additional pages if more lines are needed.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17"/>
        <w:gridCol w:w="191"/>
        <w:gridCol w:w="83"/>
        <w:gridCol w:w="1367"/>
        <w:gridCol w:w="60"/>
        <w:gridCol w:w="191"/>
        <w:gridCol w:w="60"/>
        <w:gridCol w:w="1731"/>
        <w:gridCol w:w="60"/>
        <w:gridCol w:w="191"/>
        <w:gridCol w:w="66"/>
        <w:gridCol w:w="1079"/>
        <w:gridCol w:w="60"/>
        <w:gridCol w:w="191"/>
        <w:gridCol w:w="141"/>
        <w:gridCol w:w="1048"/>
        <w:gridCol w:w="60"/>
        <w:gridCol w:w="191"/>
        <w:gridCol w:w="70"/>
        <w:gridCol w:w="1779"/>
        <w:gridCol w:w="69"/>
      </w:tblGrid>
      <w:tr>
        <w:trPr/>
        <w:tc>
          <w:tcPr>
            <w:tcW w:w="1517"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517" w:type="dxa"/>
            <w:tcBorders/>
            <w:vAlign w:val="center"/>
          </w:tcPr>
          <w:p>
            <w:pPr>
              <w:pStyle w:val="TableContents"/>
              <w:bidi w:val="0"/>
              <w:spacing w:before="0" w:after="0"/>
              <w:jc w:val="center"/>
              <w:rPr>
                <w:rFonts w:ascii="Times New Roman" w:hAnsi="Times New Roman"/>
                <w:sz w:val="16"/>
                <w:u w:val="single"/>
              </w:rPr>
            </w:pPr>
            <w:r>
              <w:rPr>
                <w:rFonts w:ascii="Times New Roman" w:hAnsi="Times New Roman"/>
                <w:sz w:val="16"/>
                <w:u w:val="single"/>
              </w:rPr>
              <w:t>Allocation</w:t>
            </w:r>
          </w:p>
          <w:p>
            <w:pPr>
              <w:pStyle w:val="TableContents"/>
              <w:bidi w:val="0"/>
              <w:spacing w:before="0" w:after="20"/>
              <w:jc w:val="center"/>
              <w:rPr>
                <w:rFonts w:ascii="Times New Roman" w:hAnsi="Times New Roman"/>
                <w:sz w:val="16"/>
                <w:u w:val="single"/>
              </w:rPr>
            </w:pPr>
            <w:r>
              <w:rPr>
                <w:rFonts w:ascii="Times New Roman" w:hAnsi="Times New Roman"/>
                <w:sz w:val="16"/>
                <w:u w:val="single"/>
              </w:rPr>
              <w:t>Sequence</w:t>
            </w:r>
          </w:p>
        </w:tc>
        <w:tc>
          <w:tcPr>
            <w:tcW w:w="191" w:type="dxa"/>
            <w:tcBorders/>
            <w:vAlign w:val="bottom"/>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center"/>
              <w:rPr>
                <w:u w:val="single"/>
              </w:rPr>
            </w:pPr>
            <w:r>
              <w:rPr>
                <w:u w:val="single"/>
              </w:rPr>
              <w:t>Transaction ID</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1" w:type="dxa"/>
            <w:gridSpan w:val="2"/>
            <w:tcBorders/>
            <w:vAlign w:val="center"/>
          </w:tcPr>
          <w:p>
            <w:pPr>
              <w:pStyle w:val="TableContents"/>
              <w:bidi w:val="0"/>
              <w:spacing w:before="0" w:after="283"/>
              <w:jc w:val="center"/>
              <w:rPr>
                <w:u w:val="single"/>
              </w:rPr>
            </w:pPr>
            <w:r>
              <w:rPr>
                <w:u w:val="single"/>
              </w:rPr>
              <w:t>Date of Sale</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u w:val="single"/>
              </w:rPr>
            </w:pPr>
            <w:r>
              <w:rPr>
                <w:u w:val="single"/>
              </w:rPr>
              <w:t>Number of</w:t>
              <w:br/>
              <w:t>Shares Sold</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u w:val="single"/>
              </w:rPr>
            </w:pPr>
            <w:r>
              <w:rPr>
                <w:u w:val="single"/>
              </w:rPr>
              <w:t>Sale Price</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849" w:type="dxa"/>
            <w:gridSpan w:val="2"/>
            <w:tcBorders/>
            <w:vAlign w:val="bottom"/>
          </w:tcPr>
          <w:p>
            <w:pPr>
              <w:pStyle w:val="TableContents"/>
              <w:bidi w:val="0"/>
              <w:spacing w:before="0" w:after="283"/>
              <w:jc w:val="center"/>
              <w:rPr>
                <w:u w:val="single"/>
              </w:rPr>
            </w:pPr>
            <w:r>
              <w:rPr>
                <w:u w:val="single"/>
              </w:rPr>
              <w:t>Indicate Type of</w:t>
              <w:br/>
              <w:t>Consideration</w:t>
              <w:br/>
              <w:t>(if other than cash)4</w:t>
            </w:r>
          </w:p>
        </w:tc>
        <w:tc>
          <w:tcPr>
            <w:tcW w:w="69" w:type="dxa"/>
            <w:tcBorders/>
            <w:vAlign w:val="bottom"/>
          </w:tcPr>
          <w:p>
            <w:pPr>
              <w:pStyle w:val="TableContents"/>
              <w:bidi w:val="0"/>
              <w:spacing w:before="0" w:after="283"/>
              <w:jc w:val="left"/>
              <w:rPr/>
            </w:pPr>
            <w:r>
              <w:rPr/>
              <w:t> </w:t>
            </w:r>
          </w:p>
        </w:tc>
      </w:tr>
      <w:tr>
        <w:trPr/>
        <w:tc>
          <w:tcPr>
            <w:tcW w:w="1517" w:type="dxa"/>
            <w:tcBorders/>
          </w:tcPr>
          <w:p>
            <w:pPr>
              <w:pStyle w:val="TableContents"/>
              <w:bidi w:val="0"/>
              <w:spacing w:before="0" w:after="0"/>
              <w:jc w:val="left"/>
              <w:rPr>
                <w:u w:val="single"/>
              </w:rPr>
            </w:pPr>
            <w:r>
              <w:rPr>
                <w:u w:val="single"/>
              </w:rPr>
              <w:t>        </w:t>
            </w:r>
          </w:p>
        </w:tc>
        <w:tc>
          <w:tcPr>
            <w:tcW w:w="19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u w:val="single"/>
              </w:rPr>
              <w:t>    </w:t>
            </w: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9" w:type="dxa"/>
            <w:tcBorders/>
            <w:vAlign w:val="bottom"/>
          </w:tcPr>
          <w:p>
            <w:pPr>
              <w:pStyle w:val="TableContents"/>
              <w:bidi w:val="0"/>
              <w:spacing w:before="0" w:after="283"/>
              <w:jc w:val="right"/>
              <w:rPr>
                <w:u w:val="single"/>
              </w:rPr>
            </w:pPr>
            <w:r>
              <w:rPr>
                <w:u w:val="single"/>
              </w:rPr>
              <w:t>      </w:t>
            </w:r>
          </w:p>
        </w:tc>
        <w:tc>
          <w:tcPr>
            <w:tcW w:w="69" w:type="dxa"/>
            <w:tcBorders/>
            <w:vAlign w:val="bottom"/>
          </w:tcPr>
          <w:p>
            <w:pPr>
              <w:pStyle w:val="TableContents"/>
              <w:bidi w:val="0"/>
              <w:spacing w:before="0" w:after="283"/>
              <w:jc w:val="left"/>
              <w:rPr/>
            </w:pPr>
            <w:r>
              <w:rPr/>
              <w:t> </w:t>
            </w:r>
          </w:p>
        </w:tc>
      </w:tr>
      <w:tr>
        <w:trPr/>
        <w:tc>
          <w:tcPr>
            <w:tcW w:w="1517" w:type="dxa"/>
            <w:tcBorders/>
          </w:tcPr>
          <w:p>
            <w:pPr>
              <w:pStyle w:val="TableContents"/>
              <w:bidi w:val="0"/>
              <w:spacing w:before="0" w:after="0"/>
              <w:jc w:val="left"/>
              <w:rPr>
                <w:u w:val="single"/>
              </w:rPr>
            </w:pPr>
            <w:r>
              <w:rPr>
                <w:u w:val="single"/>
              </w:rPr>
              <w:t>        </w:t>
            </w:r>
          </w:p>
        </w:tc>
        <w:tc>
          <w:tcPr>
            <w:tcW w:w="19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u w:val="single"/>
              </w:rPr>
              <w:t>    </w:t>
            </w: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9" w:type="dxa"/>
            <w:tcBorders/>
            <w:vAlign w:val="bottom"/>
          </w:tcPr>
          <w:p>
            <w:pPr>
              <w:pStyle w:val="TableContents"/>
              <w:bidi w:val="0"/>
              <w:spacing w:before="0" w:after="283"/>
              <w:jc w:val="right"/>
              <w:rPr>
                <w:u w:val="single"/>
              </w:rPr>
            </w:pPr>
            <w:r>
              <w:rPr>
                <w:u w:val="single"/>
              </w:rPr>
              <w:t>      </w:t>
            </w:r>
          </w:p>
        </w:tc>
        <w:tc>
          <w:tcPr>
            <w:tcW w:w="69" w:type="dxa"/>
            <w:tcBorders/>
            <w:vAlign w:val="bottom"/>
          </w:tcPr>
          <w:p>
            <w:pPr>
              <w:pStyle w:val="TableContents"/>
              <w:bidi w:val="0"/>
              <w:spacing w:before="0" w:after="283"/>
              <w:jc w:val="left"/>
              <w:rPr/>
            </w:pPr>
            <w:r>
              <w:rPr/>
              <w:t> </w:t>
            </w:r>
          </w:p>
        </w:tc>
      </w:tr>
      <w:tr>
        <w:trPr/>
        <w:tc>
          <w:tcPr>
            <w:tcW w:w="1517" w:type="dxa"/>
            <w:tcBorders/>
          </w:tcPr>
          <w:p>
            <w:pPr>
              <w:pStyle w:val="TableContents"/>
              <w:bidi w:val="0"/>
              <w:spacing w:before="0" w:after="0"/>
              <w:jc w:val="left"/>
              <w:rPr>
                <w:u w:val="single"/>
              </w:rPr>
            </w:pPr>
            <w:r>
              <w:rPr>
                <w:u w:val="single"/>
              </w:rPr>
              <w:t>        </w:t>
            </w:r>
          </w:p>
        </w:tc>
        <w:tc>
          <w:tcPr>
            <w:tcW w:w="19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u w:val="single"/>
              </w:rPr>
              <w:t>    </w:t>
            </w: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9" w:type="dxa"/>
            <w:tcBorders/>
            <w:vAlign w:val="bottom"/>
          </w:tcPr>
          <w:p>
            <w:pPr>
              <w:pStyle w:val="TableContents"/>
              <w:bidi w:val="0"/>
              <w:spacing w:before="0" w:after="283"/>
              <w:jc w:val="right"/>
              <w:rPr>
                <w:u w:val="single"/>
              </w:rPr>
            </w:pPr>
            <w:r>
              <w:rPr>
                <w:u w:val="single"/>
              </w:rPr>
              <w:t>      </w:t>
            </w:r>
          </w:p>
        </w:tc>
        <w:tc>
          <w:tcPr>
            <w:tcW w:w="69" w:type="dxa"/>
            <w:tcBorders/>
            <w:vAlign w:val="bottom"/>
          </w:tcPr>
          <w:p>
            <w:pPr>
              <w:pStyle w:val="TableContents"/>
              <w:bidi w:val="0"/>
              <w:spacing w:before="0" w:after="283"/>
              <w:jc w:val="left"/>
              <w:rPr/>
            </w:pPr>
            <w:r>
              <w:rPr/>
              <w:t> </w:t>
            </w:r>
          </w:p>
        </w:tc>
      </w:tr>
      <w:tr>
        <w:trPr/>
        <w:tc>
          <w:tcPr>
            <w:tcW w:w="1517" w:type="dxa"/>
            <w:tcBorders/>
          </w:tcPr>
          <w:p>
            <w:pPr>
              <w:pStyle w:val="TableContents"/>
              <w:bidi w:val="0"/>
              <w:spacing w:before="0" w:after="0"/>
              <w:jc w:val="left"/>
              <w:rPr>
                <w:u w:val="single"/>
              </w:rPr>
            </w:pPr>
            <w:r>
              <w:rPr>
                <w:u w:val="single"/>
              </w:rPr>
              <w:t>        </w:t>
            </w:r>
          </w:p>
        </w:tc>
        <w:tc>
          <w:tcPr>
            <w:tcW w:w="19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u w:val="single"/>
              </w:rPr>
              <w:t>    </w:t>
            </w: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9" w:type="dxa"/>
            <w:tcBorders/>
            <w:vAlign w:val="bottom"/>
          </w:tcPr>
          <w:p>
            <w:pPr>
              <w:pStyle w:val="TableContents"/>
              <w:bidi w:val="0"/>
              <w:spacing w:before="0" w:after="283"/>
              <w:jc w:val="right"/>
              <w:rPr>
                <w:u w:val="single"/>
              </w:rPr>
            </w:pPr>
            <w:r>
              <w:rPr>
                <w:u w:val="single"/>
              </w:rPr>
              <w:t>      </w:t>
            </w:r>
          </w:p>
        </w:tc>
        <w:tc>
          <w:tcPr>
            <w:tcW w:w="69" w:type="dxa"/>
            <w:tcBorders/>
            <w:vAlign w:val="bottom"/>
          </w:tcPr>
          <w:p>
            <w:pPr>
              <w:pStyle w:val="TableContents"/>
              <w:bidi w:val="0"/>
              <w:spacing w:before="0" w:after="283"/>
              <w:jc w:val="left"/>
              <w:rPr/>
            </w:pPr>
            <w:r>
              <w:rPr/>
              <w:t> </w:t>
            </w:r>
          </w:p>
        </w:tc>
      </w:tr>
      <w:tr>
        <w:trPr/>
        <w:tc>
          <w:tcPr>
            <w:tcW w:w="1517" w:type="dxa"/>
            <w:tcBorders/>
          </w:tcPr>
          <w:p>
            <w:pPr>
              <w:pStyle w:val="TableContents"/>
              <w:bidi w:val="0"/>
              <w:spacing w:before="0" w:after="0"/>
              <w:jc w:val="left"/>
              <w:rPr>
                <w:u w:val="single"/>
              </w:rPr>
            </w:pPr>
            <w:r>
              <w:rPr>
                <w:u w:val="single"/>
              </w:rPr>
              <w:t>        </w:t>
            </w:r>
          </w:p>
        </w:tc>
        <w:tc>
          <w:tcPr>
            <w:tcW w:w="19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u w:val="single"/>
              </w:rPr>
              <w:t>    </w:t>
            </w: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9" w:type="dxa"/>
            <w:tcBorders/>
            <w:vAlign w:val="bottom"/>
          </w:tcPr>
          <w:p>
            <w:pPr>
              <w:pStyle w:val="TableContents"/>
              <w:bidi w:val="0"/>
              <w:spacing w:before="0" w:after="283"/>
              <w:jc w:val="right"/>
              <w:rPr>
                <w:u w:val="single"/>
              </w:rPr>
            </w:pPr>
            <w:r>
              <w:rPr>
                <w:u w:val="single"/>
              </w:rPr>
              <w:t>      </w:t>
            </w:r>
          </w:p>
        </w:tc>
        <w:tc>
          <w:tcPr>
            <w:tcW w:w="69" w:type="dxa"/>
            <w:tcBorders/>
            <w:vAlign w:val="bottom"/>
          </w:tcPr>
          <w:p>
            <w:pPr>
              <w:pStyle w:val="TableContents"/>
              <w:bidi w:val="0"/>
              <w:spacing w:before="0" w:after="283"/>
              <w:jc w:val="left"/>
              <w:rPr/>
            </w:pPr>
            <w:r>
              <w:rPr/>
              <w:t> </w:t>
            </w:r>
          </w:p>
        </w:tc>
      </w:tr>
      <w:tr>
        <w:trPr/>
        <w:tc>
          <w:tcPr>
            <w:tcW w:w="1517" w:type="dxa"/>
            <w:tcBorders/>
          </w:tcPr>
          <w:p>
            <w:pPr>
              <w:pStyle w:val="TableContents"/>
              <w:bidi w:val="0"/>
              <w:spacing w:before="0" w:after="0"/>
              <w:jc w:val="left"/>
              <w:rPr>
                <w:u w:val="single"/>
              </w:rPr>
            </w:pPr>
            <w:r>
              <w:rPr>
                <w:u w:val="single"/>
              </w:rPr>
              <w:t>        </w:t>
            </w:r>
          </w:p>
        </w:tc>
        <w:tc>
          <w:tcPr>
            <w:tcW w:w="19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u w:val="single"/>
              </w:rPr>
              <w:t>  </w:t>
            </w:r>
            <w:r>
              <w:rPr/>
              <w:t>/</w:t>
            </w:r>
            <w:r>
              <w:rPr>
                <w:u w:val="single"/>
              </w:rPr>
              <w:t>  </w:t>
            </w:r>
            <w:r>
              <w:rPr/>
              <w:t>/202</w:t>
            </w: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u w:val="single"/>
              </w:rPr>
            </w:pPr>
            <w:r>
              <w:rPr>
                <w:u w:val="single"/>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u w:val="single"/>
              </w:rPr>
              <w:t>    </w:t>
            </w: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79" w:type="dxa"/>
            <w:tcBorders/>
            <w:vAlign w:val="bottom"/>
          </w:tcPr>
          <w:p>
            <w:pPr>
              <w:pStyle w:val="TableContents"/>
              <w:bidi w:val="0"/>
              <w:spacing w:before="0" w:after="283"/>
              <w:jc w:val="right"/>
              <w:rPr>
                <w:u w:val="single"/>
              </w:rPr>
            </w:pPr>
            <w:r>
              <w:rPr>
                <w:u w:val="single"/>
              </w:rPr>
              <w:t>      </w:t>
            </w:r>
          </w:p>
        </w:tc>
        <w:tc>
          <w:tcPr>
            <w:tcW w:w="6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Total number of Eligible Shares previously sold being rescinded:</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b/>
          <w:sz w:val="20"/>
        </w:rPr>
        <w:t xml:space="preserve">C. Check this box if you are submitting a new Rescission Offer Election Form to </w:t>
      </w:r>
      <w:r>
        <w:rPr>
          <w:rFonts w:ascii="Times New Roman" w:hAnsi="Times New Roman"/>
          <w:b/>
          <w:sz w:val="20"/>
          <w:u w:val="single"/>
        </w:rPr>
        <w:t>modify</w:t>
      </w:r>
      <w:r>
        <w:rPr>
          <w:rFonts w:ascii="Times New Roman" w:hAnsi="Times New Roman"/>
          <w:sz w:val="20"/>
        </w:rPr>
        <w:t xml:space="preserve"> </w:t>
      </w:r>
      <w:r>
        <w:rPr>
          <w:rFonts w:ascii="Times New Roman" w:hAnsi="Times New Roman"/>
          <w:b/>
          <w:sz w:val="20"/>
        </w:rPr>
        <w:t>a previously submitted Election Form:</w:t>
      </w:r>
      <w:r>
        <w:rPr>
          <w:rFonts w:ascii="Times New Roman" w:hAnsi="Times New Roman"/>
          <w:sz w:val="20"/>
        </w:rPr>
        <w:t xml:space="preserve"> ☐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price may have been paid in either cash or property. If the sale price was paid in property, the price will be deemed to be the fair market value of such property at the time of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PART III. Participant Information and Signature. </w:t>
      </w:r>
    </w:p>
    <w:p>
      <w:pPr>
        <w:pStyle w:val="TextBody"/>
        <w:bidi w:val="0"/>
        <w:spacing w:before="240" w:after="0"/>
        <w:jc w:val="left"/>
        <w:rPr>
          <w:rFonts w:ascii="Times New Roman" w:hAnsi="Times New Roman"/>
          <w:b/>
          <w:sz w:val="20"/>
        </w:rPr>
      </w:pPr>
      <w:r>
        <w:rPr>
          <w:rFonts w:ascii="Times New Roman" w:hAnsi="Times New Roman"/>
          <w:b/>
          <w:sz w:val="20"/>
        </w:rPr>
        <w:t xml:space="preserve">A. Information Review and Certification.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9392"/>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my information in EquatePlus (including but not limited to my tax certification, mailing address, bank information and payment details, telephone number, and email address), and I confirm that such information is current and accurate.* </w:t>
            </w:r>
          </w:p>
        </w:tc>
      </w:tr>
    </w:tbl>
    <w:p>
      <w:pPr>
        <w:pStyle w:val="TextBody"/>
        <w:bidi w:val="0"/>
        <w:spacing w:before="120" w:after="0"/>
        <w:jc w:val="left"/>
        <w:rPr>
          <w:rFonts w:ascii="Times New Roman" w:hAnsi="Times New Roman"/>
          <w:sz w:val="20"/>
        </w:rPr>
      </w:pPr>
      <w:r>
        <w:rPr>
          <w:rFonts w:ascii="Times New Roman" w:hAnsi="Times New Roman"/>
          <w:i/>
          <w:sz w:val="20"/>
        </w:rPr>
        <w:t>*You can view your information in EquatePlus by logging on to your EquatePlus account at www.equateplus.com and clicking the down arrow next to your name, on the “Overview” page.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 Certification and Signature.5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hereby certifies that the undersigned has reviewed, understands, and agrees to the terms and conditions of the Rescission Offer as outlined in the Prospectus, and that all elections remain subject to the terms and conditions outlined in the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3"/>
        <w:gridCol w:w="169"/>
        <w:gridCol w:w="855"/>
        <w:gridCol w:w="135"/>
        <w:gridCol w:w="3319"/>
        <w:gridCol w:w="135"/>
        <w:gridCol w:w="653"/>
        <w:gridCol w:w="135"/>
        <w:gridCol w:w="4001"/>
      </w:tblGrid>
      <w:tr>
        <w:trPr/>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3319"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4001" w:type="dxa"/>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By:</w:t>
            </w:r>
          </w:p>
        </w:tc>
        <w:tc>
          <w:tcPr>
            <w:tcW w:w="169" w:type="dxa"/>
            <w:tcBorders>
              <w:bottom w:val="single" w:sz="2" w:space="0" w:color="000000"/>
            </w:tcBorders>
            <w:tcMar>
              <w:bottom w:w="28" w:type="dxa"/>
            </w:tcMar>
            <w:vAlign w:val="bottom"/>
          </w:tcPr>
          <w:p>
            <w:pPr>
              <w:pStyle w:val="TableContents"/>
              <w:bidi w:val="0"/>
              <w:spacing w:before="0" w:after="283"/>
              <w:jc w:val="left"/>
              <w:rPr/>
            </w:pPr>
            <w:r>
              <w:rPr/>
              <w:t> </w:t>
            </w:r>
          </w:p>
        </w:tc>
        <w:tc>
          <w:tcPr>
            <w:tcW w:w="4309" w:type="dxa"/>
            <w:gridSpan w:val="3"/>
            <w:tcBorders>
              <w:bottom w:val="single" w:sz="2" w:space="0" w:color="000000"/>
            </w:tcBorders>
            <w:tcMar>
              <w:bottom w:w="28" w:type="dxa"/>
            </w:tcMa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4789" w:type="dxa"/>
            <w:gridSpan w:val="3"/>
            <w:tcBorders/>
          </w:tcPr>
          <w:p>
            <w:pPr>
              <w:pStyle w:val="TableContents"/>
              <w:bidi w:val="0"/>
              <w:spacing w:before="0" w:after="283"/>
              <w:jc w:val="left"/>
              <w:rPr>
                <w:sz w:val="4"/>
                <w:szCs w:val="4"/>
              </w:rPr>
            </w:pPr>
            <w:r>
              <w:rPr>
                <w:sz w:val="4"/>
                <w:szCs w:val="4"/>
              </w:rPr>
            </w:r>
          </w:p>
        </w:tc>
      </w:tr>
      <w:tr>
        <w:trPr/>
        <w:tc>
          <w:tcPr>
            <w:tcW w:w="5281" w:type="dxa"/>
            <w:gridSpan w:val="5"/>
            <w:tcBorders/>
          </w:tcPr>
          <w:p>
            <w:pPr>
              <w:pStyle w:val="TableContents"/>
              <w:bidi w:val="0"/>
              <w:spacing w:before="0" w:after="283"/>
              <w:jc w:val="center"/>
              <w:rPr/>
            </w:pPr>
            <w:r>
              <w:rPr/>
              <w:t>(Signature)</w:t>
            </w:r>
          </w:p>
        </w:tc>
        <w:tc>
          <w:tcPr>
            <w:tcW w:w="135"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4001" w:type="dxa"/>
            <w:tcBorders/>
          </w:tcPr>
          <w:p>
            <w:pPr>
              <w:pStyle w:val="TableContents"/>
              <w:bidi w:val="0"/>
              <w:spacing w:before="0" w:after="283"/>
              <w:jc w:val="left"/>
              <w:rPr>
                <w:sz w:val="4"/>
                <w:szCs w:val="4"/>
              </w:rPr>
            </w:pPr>
            <w:r>
              <w:rPr>
                <w:sz w:val="4"/>
                <w:szCs w:val="4"/>
              </w:rPr>
            </w:r>
          </w:p>
        </w:tc>
      </w:tr>
      <w:tr>
        <w:trPr>
          <w:trHeight w:val="120" w:hRule="atLeast"/>
        </w:trPr>
        <w:tc>
          <w:tcPr>
            <w:tcW w:w="1827" w:type="dxa"/>
            <w:gridSpan w:val="3"/>
            <w:tcBorders/>
            <w:vAlign w:val="center"/>
          </w:tcPr>
          <w:p>
            <w:pPr>
              <w:pStyle w:val="TableContents"/>
              <w:bidi w:val="0"/>
              <w:spacing w:before="0" w:after="283"/>
              <w:jc w:val="left"/>
              <w:rPr>
                <w:sz w:val="4"/>
                <w:szCs w:val="4"/>
              </w:rPr>
            </w:pPr>
            <w:r>
              <w:rPr>
                <w:sz w:val="4"/>
                <w:szCs w:val="4"/>
              </w:rPr>
            </w:r>
          </w:p>
        </w:tc>
        <w:tc>
          <w:tcPr>
            <w:tcW w:w="3454" w:type="dxa"/>
            <w:gridSpan w:val="2"/>
            <w:tcBorders/>
            <w:vAlign w:val="center"/>
          </w:tcPr>
          <w:p>
            <w:pPr>
              <w:pStyle w:val="TableContents"/>
              <w:bidi w:val="0"/>
              <w:spacing w:before="0" w:after="283"/>
              <w:jc w:val="left"/>
              <w:rPr>
                <w:sz w:val="4"/>
                <w:szCs w:val="4"/>
              </w:rPr>
            </w:pPr>
            <w:r>
              <w:rPr>
                <w:sz w:val="4"/>
                <w:szCs w:val="4"/>
              </w:rPr>
            </w:r>
          </w:p>
        </w:tc>
        <w:tc>
          <w:tcPr>
            <w:tcW w:w="788" w:type="dxa"/>
            <w:gridSpan w:val="2"/>
            <w:tcBorders/>
            <w:vAlign w:val="center"/>
          </w:tcPr>
          <w:p>
            <w:pPr>
              <w:pStyle w:val="TableContents"/>
              <w:bidi w:val="0"/>
              <w:spacing w:before="0" w:after="283"/>
              <w:jc w:val="left"/>
              <w:rPr>
                <w:sz w:val="4"/>
                <w:szCs w:val="4"/>
              </w:rPr>
            </w:pPr>
            <w:r>
              <w:rPr>
                <w:sz w:val="4"/>
                <w:szCs w:val="4"/>
              </w:rPr>
            </w:r>
          </w:p>
        </w:tc>
        <w:tc>
          <w:tcPr>
            <w:tcW w:w="4136" w:type="dxa"/>
            <w:gridSpan w:val="2"/>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Pr>
          <w:p>
            <w:pPr>
              <w:pStyle w:val="TableContents"/>
              <w:bidi w:val="0"/>
              <w:spacing w:before="0" w:after="283"/>
              <w:jc w:val="left"/>
              <w:rPr/>
            </w:pPr>
            <w:r>
              <w:rPr/>
              <w:t>Name:</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3319" w:type="dxa"/>
            <w:tcBorders>
              <w:bottom w:val="single" w:sz="2" w:space="0" w:color="000000"/>
            </w:tcBorders>
            <w:tcMar>
              <w:bottom w:w="28" w:type="dxa"/>
            </w:tcMa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Date:</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4001" w:type="dxa"/>
            <w:tcBorders>
              <w:bottom w:val="single" w:sz="2" w:space="0" w:color="000000"/>
            </w:tcBorders>
            <w:tcMar>
              <w:bottom w:w="28" w:type="dxa"/>
            </w:tcMar>
          </w:tcPr>
          <w:p>
            <w:pPr>
              <w:pStyle w:val="TableContents"/>
              <w:bidi w:val="0"/>
              <w:spacing w:before="0" w:after="283"/>
              <w:jc w:val="left"/>
              <w:rPr/>
            </w:pPr>
            <w:r>
              <w:rPr/>
              <w:t>            </w:t>
            </w:r>
            <w:r>
              <w:rPr/>
              <w:t>, 2026</w:t>
            </w:r>
          </w:p>
        </w:tc>
      </w:tr>
      <w:tr>
        <w:trPr>
          <w:trHeight w:val="120" w:hRule="atLeast"/>
        </w:trPr>
        <w:tc>
          <w:tcPr>
            <w:tcW w:w="1827" w:type="dxa"/>
            <w:gridSpan w:val="3"/>
            <w:tcBorders/>
            <w:vAlign w:val="center"/>
          </w:tcPr>
          <w:p>
            <w:pPr>
              <w:pStyle w:val="TableContents"/>
              <w:bidi w:val="0"/>
              <w:spacing w:before="0" w:after="283"/>
              <w:jc w:val="left"/>
              <w:rPr>
                <w:sz w:val="4"/>
                <w:szCs w:val="4"/>
              </w:rPr>
            </w:pPr>
            <w:r>
              <w:rPr>
                <w:sz w:val="4"/>
                <w:szCs w:val="4"/>
              </w:rPr>
            </w:r>
          </w:p>
        </w:tc>
        <w:tc>
          <w:tcPr>
            <w:tcW w:w="3454" w:type="dxa"/>
            <w:gridSpan w:val="2"/>
            <w:tcBorders/>
            <w:vAlign w:val="center"/>
          </w:tcPr>
          <w:p>
            <w:pPr>
              <w:pStyle w:val="TableContents"/>
              <w:bidi w:val="0"/>
              <w:spacing w:before="0" w:after="283"/>
              <w:jc w:val="left"/>
              <w:rPr>
                <w:sz w:val="4"/>
                <w:szCs w:val="4"/>
              </w:rPr>
            </w:pPr>
            <w:r>
              <w:rPr>
                <w:sz w:val="4"/>
                <w:szCs w:val="4"/>
              </w:rPr>
            </w:r>
          </w:p>
        </w:tc>
        <w:tc>
          <w:tcPr>
            <w:tcW w:w="788" w:type="dxa"/>
            <w:gridSpan w:val="2"/>
            <w:tcBorders/>
            <w:vAlign w:val="center"/>
          </w:tcPr>
          <w:p>
            <w:pPr>
              <w:pStyle w:val="TableContents"/>
              <w:bidi w:val="0"/>
              <w:spacing w:before="0" w:after="283"/>
              <w:jc w:val="left"/>
              <w:rPr>
                <w:sz w:val="4"/>
                <w:szCs w:val="4"/>
              </w:rPr>
            </w:pPr>
            <w:r>
              <w:rPr>
                <w:sz w:val="4"/>
                <w:szCs w:val="4"/>
              </w:rPr>
            </w:r>
          </w:p>
        </w:tc>
        <w:tc>
          <w:tcPr>
            <w:tcW w:w="4136" w:type="dxa"/>
            <w:gridSpan w:val="2"/>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Pr>
          <w:p>
            <w:pPr>
              <w:pStyle w:val="TableContents"/>
              <w:bidi w:val="0"/>
              <w:spacing w:before="0" w:after="283"/>
              <w:jc w:val="left"/>
              <w:rPr/>
            </w:pPr>
            <w:r>
              <w:rPr/>
              <w:t>Telephone Number:</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3319" w:type="dxa"/>
            <w:tcBorders>
              <w:bottom w:val="single" w:sz="2" w:space="0" w:color="000000"/>
            </w:tcBorders>
            <w:tcMar>
              <w:bottom w:w="28" w:type="dxa"/>
            </w:tcMa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Email:</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4001"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827" w:type="dxa"/>
            <w:gridSpan w:val="3"/>
            <w:tcBorders/>
            <w:vAlign w:val="center"/>
          </w:tcPr>
          <w:p>
            <w:pPr>
              <w:pStyle w:val="TableContents"/>
              <w:bidi w:val="0"/>
              <w:spacing w:before="0" w:after="283"/>
              <w:jc w:val="left"/>
              <w:rPr>
                <w:sz w:val="4"/>
                <w:szCs w:val="4"/>
              </w:rPr>
            </w:pPr>
            <w:r>
              <w:rPr>
                <w:sz w:val="4"/>
                <w:szCs w:val="4"/>
              </w:rPr>
            </w:r>
          </w:p>
        </w:tc>
        <w:tc>
          <w:tcPr>
            <w:tcW w:w="8378" w:type="dxa"/>
            <w:gridSpan w:val="6"/>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Pr>
          <w:p>
            <w:pPr>
              <w:pStyle w:val="TableContents"/>
              <w:bidi w:val="0"/>
              <w:spacing w:before="0" w:after="283"/>
              <w:jc w:val="left"/>
              <w:rPr/>
            </w:pPr>
            <w:r>
              <w:rPr/>
              <w:t>Address of Residence:</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8243" w:type="dxa"/>
            <w:gridSpan w:val="5"/>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5"/>
        <w:gridCol w:w="9990"/>
      </w:tblGrid>
      <w:tr>
        <w:trPr/>
        <w:tc>
          <w:tcPr>
            <w:tcW w:w="215" w:type="dxa"/>
            <w:tcBorders/>
          </w:tcPr>
          <w:p>
            <w:pPr>
              <w:pStyle w:val="TableContents"/>
              <w:bidi w:val="0"/>
              <w:spacing w:before="0" w:after="283"/>
              <w:jc w:val="left"/>
              <w:rPr>
                <w:b/>
              </w:rPr>
            </w:pPr>
            <w:r>
              <w:rPr>
                <w:b/>
              </w:rPr>
              <w:t>5 </w:t>
            </w:r>
          </w:p>
        </w:tc>
        <w:tc>
          <w:tcPr>
            <w:tcW w:w="99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SIGN AND DATE your Election Form. Any unsigned Election Form will not be valid and will be deemed a rejection of the Rescission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APPENDIX A </w:t>
      </w:r>
    </w:p>
    <w:p>
      <w:pPr>
        <w:pStyle w:val="TextBody"/>
        <w:bidi w:val="0"/>
        <w:spacing w:before="240" w:after="0"/>
        <w:jc w:val="center"/>
        <w:rPr>
          <w:rFonts w:ascii="Times New Roman" w:hAnsi="Times New Roman"/>
          <w:b/>
          <w:sz w:val="20"/>
        </w:rPr>
      </w:pPr>
      <w:r>
        <w:rPr>
          <w:rFonts w:ascii="Times New Roman" w:hAnsi="Times New Roman"/>
          <w:b/>
          <w:sz w:val="20"/>
        </w:rPr>
        <w:t xml:space="preserve">INSTRUCTIONS TO MODIFY OR WITHDRAW </w:t>
      </w:r>
    </w:p>
    <w:p>
      <w:pPr>
        <w:pStyle w:val="TextBody"/>
        <w:bidi w:val="0"/>
        <w:spacing w:before="0" w:after="0"/>
        <w:jc w:val="center"/>
        <w:rPr>
          <w:rFonts w:ascii="Times New Roman" w:hAnsi="Times New Roman"/>
          <w:b/>
          <w:sz w:val="20"/>
        </w:rPr>
      </w:pPr>
      <w:r>
        <w:rPr>
          <w:rFonts w:ascii="Times New Roman" w:hAnsi="Times New Roman"/>
          <w:b/>
          <w:sz w:val="20"/>
        </w:rPr>
        <w:t xml:space="preserve">YOUR RESCISSION OFFER ELECTION FORM </w:t>
      </w:r>
    </w:p>
    <w:p>
      <w:pPr>
        <w:pStyle w:val="TextBody"/>
        <w:bidi w:val="0"/>
        <w:spacing w:before="0" w:after="0"/>
        <w:jc w:val="left"/>
        <w:rPr/>
      </w:pPr>
      <w:r>
        <w:rPr/>
        <w:t> </w:t>
      </w:r>
    </w:p>
    <w:p>
      <w:pPr>
        <w:pStyle w:val="TextBody"/>
        <w:pBdr/>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If you deliver </w:t>
      </w:r>
      <w:r>
        <w:rPr>
          <w:rFonts w:ascii="Times New Roman" w:hAnsi="Times New Roman"/>
          <w:b/>
          <w:sz w:val="20"/>
          <w:bdr w:val="single" w:sz="2" w:space="2" w:color="000000"/>
        </w:rPr>
        <w:t>multiple</w:t>
      </w:r>
      <w:r>
        <w:rPr>
          <w:rFonts w:ascii="Times New Roman" w:hAnsi="Times New Roman"/>
          <w:sz w:val="20"/>
          <w:bdr w:val="single" w:sz="2" w:space="2" w:color="000000"/>
        </w:rPr>
        <w:t xml:space="preserve"> Election Forms and/or withdrawals to SOS, only the </w:t>
      </w:r>
      <w:r>
        <w:rPr>
          <w:rFonts w:ascii="Times New Roman" w:hAnsi="Times New Roman"/>
          <w:b/>
          <w:sz w:val="20"/>
          <w:bdr w:val="single" w:sz="2" w:space="2" w:color="000000"/>
        </w:rPr>
        <w:t>last timely received</w:t>
      </w:r>
      <w:r>
        <w:rPr>
          <w:rFonts w:ascii="Times New Roman" w:hAnsi="Times New Roman"/>
          <w:sz w:val="20"/>
          <w:bdr w:val="single" w:sz="2" w:space="2" w:color="000000"/>
        </w:rPr>
        <w:t xml:space="preserve"> Election Form or withdrawal will be deemed to reflect your intent and </w:t>
      </w:r>
      <w:r>
        <w:rPr>
          <w:rFonts w:ascii="Times New Roman" w:hAnsi="Times New Roman"/>
          <w:b/>
          <w:sz w:val="20"/>
          <w:bdr w:val="single" w:sz="2" w:space="2" w:color="000000"/>
        </w:rPr>
        <w:t>will supersede and revoke any prior Election Form(s) or withdrawal(s)</w:t>
      </w:r>
      <w:r>
        <w:rPr>
          <w:rFonts w:ascii="Times New Roman" w:hAnsi="Times New Roman"/>
          <w:sz w:val="20"/>
          <w:bdr w:val="single" w:sz="2" w:space="2" w:color="000000"/>
        </w:rPr>
        <w:t xml:space="preserve">.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MODIFYING YOUR PREVIOUS RESCISSION OFFER ELECTION FORM: </w:t>
      </w:r>
    </w:p>
    <w:p>
      <w:pPr>
        <w:pStyle w:val="TextBody"/>
        <w:bidi w:val="0"/>
        <w:spacing w:before="240" w:after="0"/>
        <w:jc w:val="left"/>
        <w:rPr>
          <w:rFonts w:ascii="Times New Roman" w:hAnsi="Times New Roman"/>
          <w:sz w:val="20"/>
        </w:rPr>
      </w:pPr>
      <w:r>
        <w:rPr>
          <w:rFonts w:ascii="Times New Roman" w:hAnsi="Times New Roman"/>
          <w:sz w:val="20"/>
        </w:rPr>
        <w:t xml:space="preserve">If you have previously completed and returned a Rescission Offer Election Form, but you wish to modify your election, you must submit an updated Election Form to SOS via email at CBIZ_RescissionOffer@sos-team.com prior to 5:00 p.m., Eastern Time, on September 8, 2026 (the “Expiration Date”) and check the box in </w:t>
      </w:r>
      <w:r>
        <w:rPr>
          <w:rFonts w:ascii="Times New Roman" w:hAnsi="Times New Roman"/>
          <w:sz w:val="20"/>
          <w:u w:val="single"/>
        </w:rPr>
        <w:t>Part II.C.</w:t>
      </w:r>
      <w:r>
        <w:rPr>
          <w:rFonts w:ascii="Times New Roman" w:hAnsi="Times New Roman"/>
          <w:sz w:val="20"/>
        </w:rPr>
        <w:t xml:space="preserve"> indicating that the election modifies your previously submitted election. </w:t>
      </w:r>
    </w:p>
    <w:p>
      <w:pPr>
        <w:pStyle w:val="TextBody"/>
        <w:bidi w:val="0"/>
        <w:spacing w:before="240" w:after="0"/>
        <w:jc w:val="left"/>
        <w:rPr>
          <w:rFonts w:ascii="Times New Roman" w:hAnsi="Times New Roman"/>
          <w:sz w:val="20"/>
        </w:rPr>
      </w:pPr>
      <w:r>
        <w:rPr>
          <w:rFonts w:ascii="Times New Roman" w:hAnsi="Times New Roman"/>
          <w:b/>
          <w:sz w:val="20"/>
        </w:rPr>
        <w:t xml:space="preserve">This ONLY modifies your elections with respect to Shares Transferred to an External Broker. </w:t>
      </w:r>
      <w:r>
        <w:rPr>
          <w:rFonts w:ascii="Times New Roman" w:hAnsi="Times New Roman"/>
          <w:sz w:val="20"/>
        </w:rPr>
        <w:t xml:space="preserve">To modify any elections for Shares Currently Held at Computershare and / or Shares Previously Sold through Computershare, you must log into your EquatePlus account at www.equateplus.com and select Edit to change your election.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WITHDRAWING YOUR PREVIOUS ACCEPTANCE OF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If you have previously completed and returned a Rescission Offer Election Form, but no longer wish to participate in the Rescission Offer, you may revoke your acceptance by completing the following statement and sending it to SOS via email at CBIZ_RescissionOffer@sos-team.com prior to the Expiration Date: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via email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To</w:t>
      </w:r>
      <w:r>
        <w:rPr>
          <w:rFonts w:ascii="Times New Roman" w:hAnsi="Times New Roman"/>
          <w:sz w:val="20"/>
        </w:rPr>
        <w:t xml:space="preserve">: CBIZ_RescissionOffer@sos-team.com </w:t>
      </w:r>
    </w:p>
    <w:p>
      <w:pPr>
        <w:pStyle w:val="TextBody"/>
        <w:bidi w:val="0"/>
        <w:spacing w:before="0" w:after="0"/>
        <w:jc w:val="left"/>
        <w:rPr>
          <w:rFonts w:ascii="Times New Roman" w:hAnsi="Times New Roman"/>
          <w:sz w:val="20"/>
        </w:rPr>
      </w:pPr>
      <w:r>
        <w:rPr>
          <w:rFonts w:ascii="Times New Roman" w:hAnsi="Times New Roman"/>
          <w:b/>
          <w:sz w:val="20"/>
        </w:rPr>
        <w:t>Subject</w:t>
      </w:r>
      <w:r>
        <w:rPr>
          <w:rFonts w:ascii="Times New Roman" w:hAnsi="Times New Roman"/>
          <w:sz w:val="20"/>
        </w:rPr>
        <w:t xml:space="preserve">: CBIZ Rescission Offer Election Form Withdrawal </w:t>
      </w:r>
    </w:p>
    <w:p>
      <w:pPr>
        <w:pStyle w:val="TextBody"/>
        <w:bidi w:val="0"/>
        <w:spacing w:before="120" w:after="0"/>
        <w:jc w:val="left"/>
        <w:rPr>
          <w:rFonts w:ascii="Times New Roman" w:hAnsi="Times New Roman"/>
          <w:sz w:val="20"/>
        </w:rPr>
      </w:pPr>
      <w:r>
        <w:rPr>
          <w:rFonts w:ascii="Times New Roman" w:hAnsi="Times New Roman"/>
          <w:sz w:val="20"/>
        </w:rPr>
        <w:t xml:space="preserve">I hereby </w:t>
      </w:r>
      <w:r>
        <w:rPr>
          <w:rFonts w:ascii="Times New Roman" w:hAnsi="Times New Roman"/>
          <w:b/>
          <w:sz w:val="20"/>
        </w:rPr>
        <w:t>revoke</w:t>
      </w:r>
      <w:r>
        <w:rPr>
          <w:rFonts w:ascii="Times New Roman" w:hAnsi="Times New Roman"/>
          <w:sz w:val="20"/>
        </w:rPr>
        <w:t xml:space="preserve"> </w:t>
      </w:r>
      <w:r>
        <w:rPr>
          <w:rFonts w:ascii="Times New Roman" w:hAnsi="Times New Roman"/>
          <w:b/>
          <w:sz w:val="20"/>
        </w:rPr>
        <w:t>acceptance</w:t>
      </w:r>
      <w:r>
        <w:rPr>
          <w:rFonts w:ascii="Times New Roman" w:hAnsi="Times New Roman"/>
          <w:sz w:val="20"/>
        </w:rPr>
        <w:t xml:space="preserve"> of CBIZ, Inc.’s offer to rescind the acquisition of shares of its common stock, by persons who acquired such shares pursuant to the CBIZ, Inc. 2007 Amended and Restated Employee Stock Purchase Plan, as amended between October 16, 2023 and April 15, 2026, effective as of the Expiration Date. All of the instructions and covenants set forth in the Rescission Offer Acceptance Form I previously completed, executed and submitted on [</w:t>
      </w:r>
      <w:r>
        <w:rPr>
          <w:rFonts w:ascii="Times New Roman" w:hAnsi="Times New Roman"/>
          <w:sz w:val="20"/>
          <w:u w:val="single"/>
        </w:rPr>
        <w:t>INSERT DATE</w:t>
      </w:r>
      <w:r>
        <w:rPr>
          <w:rFonts w:ascii="Times New Roman" w:hAnsi="Times New Roman"/>
          <w:sz w:val="20"/>
        </w:rPr>
        <w:t xml:space="preserve">] are hereby </w:t>
      </w:r>
      <w:r>
        <w:rPr>
          <w:rFonts w:ascii="Times New Roman" w:hAnsi="Times New Roman"/>
          <w:b/>
          <w:sz w:val="20"/>
        </w:rPr>
        <w:t>revoked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Insert Name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Insert Street Address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Insert City, State and Zip Code of Residence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Insert Telephone Number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This ONLY revokes your elections with respect to Shares Transferred to an External Broker</w:t>
      </w:r>
      <w:r>
        <w:rPr>
          <w:rFonts w:ascii="Times New Roman" w:hAnsi="Times New Roman"/>
          <w:sz w:val="20"/>
        </w:rPr>
        <w:t xml:space="preserve">. To revoke any elections for Shares Currently Held at Computershare and / or Shares Previously Sold through Computershare, you must log into your EquatePlus account at www.equateplus.com and go to the Library &gt; Tasks &gt; Elections and select Delete to withdraw.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PROPERLY COMPLETE ALL DELIVERIES AND OTHER ACTIONS REQUIRED FOR VALIDLY ACCEPTING THE RESCISSION OFFER PRIOR TO 5:00 P.M., EASTERN TIME, ON THE EXPIRATION DATE, YOU WILL BE DEEMED TO HAVE REJECTED THE RESCISSION OFFER. </w:t>
      </w:r>
    </w:p>
    <w:p>
      <w:pPr>
        <w:pStyle w:val="TextBody"/>
        <w:bidi w:val="0"/>
        <w:spacing w:before="240" w:after="0"/>
        <w:jc w:val="left"/>
        <w:rPr>
          <w:rFonts w:ascii="Times New Roman" w:hAnsi="Times New Roman"/>
          <w:sz w:val="20"/>
        </w:rPr>
      </w:pPr>
      <w:r>
        <w:rPr>
          <w:rFonts w:ascii="Times New Roman" w:hAnsi="Times New Roman"/>
          <w:sz w:val="20"/>
        </w:rPr>
        <w:t xml:space="preserve">All determinations with respect to the Rescission Offer (including issues relating to the timeliness or effectiveness of any election, modification or withdrawal) will be made by us, which determinations shall be final and binding. </w:t>
      </w:r>
    </w:p>
    <w:p>
      <w:pPr>
        <w:pStyle w:val="TextBody"/>
        <w:bidi w:val="0"/>
        <w:spacing w:before="240" w:after="0"/>
        <w:jc w:val="left"/>
        <w:rPr>
          <w:rFonts w:ascii="Times New Roman" w:hAnsi="Times New Roman"/>
          <w:sz w:val="20"/>
        </w:rPr>
      </w:pPr>
      <w:r>
        <w:rPr>
          <w:rFonts w:ascii="Times New Roman" w:hAnsi="Times New Roman"/>
          <w:b/>
          <w:sz w:val="20"/>
          <w:u w:val="single"/>
        </w:rPr>
        <w:t>Questions</w:t>
      </w:r>
      <w:r>
        <w:rPr>
          <w:rFonts w:ascii="Times New Roman" w:hAnsi="Times New Roman"/>
          <w:sz w:val="20"/>
        </w:rPr>
        <w:t xml:space="preserve">: If you have questions about the Rescission Offer, you may contact SOS at (615) 994-8665 or via email at CBIZ_RescissionOffer@sos-team.com.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statement sets forth the expenses of CBIZ, Inc. (the “registrant”) in connection with the offering described in this registration statement (all of which will be borne by the registrant). All amounts shown are estimated.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6"/>
        <w:gridCol w:w="461"/>
        <w:gridCol w:w="141"/>
        <w:gridCol w:w="937"/>
        <w:gridCol w:w="64"/>
      </w:tblGrid>
      <w:tr>
        <w:trPr/>
        <w:tc>
          <w:tcPr>
            <w:tcW w:w="5336"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5,768</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150,000</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50,000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14,232</w:t>
            </w:r>
          </w:p>
        </w:tc>
        <w:tc>
          <w:tcPr>
            <w:tcW w:w="64" w:type="dxa"/>
            <w:tcBorders/>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220,000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registrant is governed by the Delaware General Corporation Law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 The registrant’s bylaws authorize the indemnification of its officers and directors, consistent with Section 145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permits a corporation to include in its certificate of incorporation a provision that limits or eliminates the liability of its directors and officers for monetary damages to the corporation and its stockholders for breach of fiduciary duty. However, no provision may limit or eliminate the liability of a director or officer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or officer’s duty of loyalty to the corporation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which involved intentional misconduct or a knowing violation of law by a director or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unlawful payment of dividends or unlawful stock repurchase or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or officer derived an improper personal benefit;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officer, any action by or in the right of the corporation (including any derivative claim) against the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registrant’s certificate of incorporation provides that its directors shall not be liable to the registrant or its stockholders for monetary damages for breach of fiduciary duty as a director, except to the extent such exemption from liability or limitation thereof is not permitted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into indemnification agreements with each of its directors and officers. These agreements require the registrant to, among other things, indemnify each director and officer to the fullest extent permitted by the laws of the State of Delaware against and to advance expenses incurred as a result of any proceeding against them as to which they could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maintains standard policies of insurance that provide coverage (i) to its directors and officers against loss arising from claims made by reason of breach of duty or other wrongful act and (ii) to the registrant with respect to indemnification payments that it may make to such directors and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3"/>
        <w:gridCol w:w="510"/>
        <w:gridCol w:w="8802"/>
      </w:tblGrid>
      <w:tr>
        <w:trPr/>
        <w:tc>
          <w:tcPr>
            <w:tcW w:w="893"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8802" w:type="dxa"/>
            <w:tcBorders/>
            <w:vAlign w:val="center"/>
          </w:tcPr>
          <w:p>
            <w:pPr>
              <w:pStyle w:val="TableContents"/>
              <w:bidi w:val="0"/>
              <w:spacing w:before="0" w:after="283"/>
              <w:jc w:val="left"/>
              <w:rPr>
                <w:sz w:val="4"/>
                <w:szCs w:val="4"/>
              </w:rPr>
            </w:pPr>
            <w:r>
              <w:rPr>
                <w:sz w:val="4"/>
                <w:szCs w:val="4"/>
              </w:rPr>
            </w:r>
          </w:p>
        </w:tc>
      </w:tr>
      <w:tr>
        <w:trPr/>
        <w:tc>
          <w:tcPr>
            <w:tcW w:w="893"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510" w:type="dxa"/>
            <w:tcBorders/>
            <w:vAlign w:val="bottom"/>
          </w:tcPr>
          <w:p>
            <w:pPr>
              <w:pStyle w:val="TableContents"/>
              <w:bidi w:val="0"/>
              <w:spacing w:before="0" w:after="283"/>
              <w:jc w:val="left"/>
              <w:rPr/>
            </w:pPr>
            <w:r>
              <w:rPr/>
              <w:t>  </w:t>
            </w:r>
          </w:p>
        </w:tc>
        <w:tc>
          <w:tcPr>
            <w:tcW w:w="88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2.1*</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r:id="rId14">
              <w:r>
                <w:rPr>
                  <w:rStyle w:val="InternetLink"/>
                </w:rPr>
                <w:t xml:space="preserve">Agreement and Plan of Merger, dated as of July  28, 2026, by and among CBIZ, Inc., Viking ParentCo, Inc. and Viking MergerCo, Inc. (filed as Exhibit 2.1 to CBIZ, Inc.’s Current Report Form 8-K, File No.  001-32961, dated July 28, 2026).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3.1*</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r:id="rId15">
              <w:r>
                <w:rPr>
                  <w:rStyle w:val="InternetLink"/>
                </w:rPr>
                <w:t xml:space="preserve">Amended and Restated Certificate of Incorporation of CBIZ, Inc., dated as of August 7, 2000 (filed as Exhibit 3.1 to CBIZ, Inc.’s Registration Statement on Form S-8, File No. 333-197284, dated May 24, 2019).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3.2*</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r:id="rId16">
              <w:r>
                <w:rPr>
                  <w:rStyle w:val="InternetLink"/>
                </w:rPr>
                <w:t xml:space="preserve">Certificate of Amendment of the Certificate of Incorporation of CBIZ, Inc., effective August  1, 2005 (filed as Exhibit 3.5 to CBIZ, Inc.’s Annual Report on Form 10-K for the year ended December 31, 2005, File No. 000-25890, dated March  16, 2006).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3.3*</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r:id="rId17">
              <w:r>
                <w:rPr>
                  <w:rStyle w:val="InternetLink"/>
                </w:rPr>
                <w:t xml:space="preserve">Amended and Restated Bylaws of CBIZ, Inc., dated November  12, 2025 (filed as Exhibit 3.1 to CBIZ, Inc.’s Current Report on Form 8-K, File No. 001-32961, dated November 17, 2025).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5.1</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w:anchor="d33368dex51.htm">
              <w:r>
                <w:rPr>
                  <w:rStyle w:val="InternetLink"/>
                </w:rPr>
                <w:t xml:space="preserve">Opinion of Weil, Gotshal &amp; Manges LLP.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23.1</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w:anchor="d33368dex231.htm">
              <w:r>
                <w:rPr>
                  <w:rStyle w:val="InternetLink"/>
                </w:rPr>
                <w:t xml:space="preserve">Consent of KPMG LLP, Independent Registered Public Accounting Firm.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23.2</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w:anchor="d33368dex51.htm">
              <w:r>
                <w:rPr>
                  <w:rStyle w:val="InternetLink"/>
                </w:rPr>
                <w:t xml:space="preserve">Consent of Weil, Gotshal &amp; Manges LLP (included in Exhibit 5.1 to this registration statement).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24.1</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101</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r>
              <w:rPr/>
              <w:t>Interactive Data File.</w:t>
            </w:r>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107</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w:anchor="d33368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Schedules have been omitted pursuant to Item 601(a)(5) and Item 601(b)(2) of Regulation S-K. The Company hereby undertakes to furnish supplemental copies of any of the omitted schedules upon request by the SEC; provided, however, that the Company may request confidential treatment pursuant to Rule 24b-2 of the Exchange Act, for any schedules so furnished.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Filing Fee Tables”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(i), (ii) and (iii) above do not apply if the registration statement is on Form S-3 and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(6) 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ig"/>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undersigned registrant certifies that it has reasonable grounds to believe that it meets all of the requirements for filing on Form S-3 and has duly caused this registration statement to be signed on its behalf by the undersigned, thereunto duly authorized, in the City of Independence, State of Ohio, on August 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9"/>
        <w:gridCol w:w="60"/>
        <w:gridCol w:w="3653"/>
      </w:tblGrid>
      <w:tr>
        <w:trPr/>
        <w:tc>
          <w:tcPr>
            <w:tcW w:w="3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CBIZ, INC.</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Brad S. Lakhia</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vAlign w:val="bottom"/>
          </w:tcPr>
          <w:p>
            <w:pPr>
              <w:pStyle w:val="TableContents"/>
              <w:bidi w:val="0"/>
              <w:spacing w:before="0" w:after="283"/>
              <w:jc w:val="left"/>
              <w:rPr/>
            </w:pPr>
            <w:r>
              <w:rPr/>
              <w:t>Name: Brad S. Lakhia</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vAlign w:val="bottom"/>
          </w:tcPr>
          <w:p>
            <w:pPr>
              <w:pStyle w:val="TableContents"/>
              <w:bidi w:val="0"/>
              <w:spacing w:before="0" w:after="283"/>
              <w:jc w:val="left"/>
              <w:rPr/>
            </w:pPr>
            <w:r>
              <w:rPr/>
              <w:t>Title:  Senior Vice President and</w:t>
              <w:br/>
              <w:t>    Chief Financial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Brad S. Lakhia and Jaileah X. Huddleston, and each of them, with full power to act without the other, his true and lawful attorney-in-fact and agent, with full power of substitution and resubstitution, for such person and in his or her name, place and stead, in any and all capacities, to sign any and all amendments (including all post-effective amendments) to this registration statement on Form S-3, and to sign any related registration statement that is to be effective upon filing pursuant to Rule 462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on August 6,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207" w:type="dxa"/>
            <w:tcBorders/>
            <w:vAlign w:val="bottom"/>
          </w:tcPr>
          <w:p>
            <w:pPr>
              <w:pStyle w:val="TableContents"/>
              <w:bidi w:val="0"/>
              <w:spacing w:before="0" w:after="283"/>
              <w:jc w:val="left"/>
              <w:rPr/>
            </w:pPr>
            <w:r>
              <w:rPr/>
              <w:t>  </w:t>
            </w:r>
          </w:p>
        </w:tc>
        <w:tc>
          <w:tcPr>
            <w:tcW w:w="531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Jerome P. Grisko, Jr.</w:t>
            </w:r>
          </w:p>
          <w:p>
            <w:pPr>
              <w:pStyle w:val="TableContents"/>
              <w:bidi w:val="0"/>
              <w:spacing w:before="0" w:after="20"/>
              <w:jc w:val="center"/>
              <w:rPr>
                <w:rFonts w:ascii="Times New Roman" w:hAnsi="Times New Roman"/>
                <w:sz w:val="20"/>
              </w:rPr>
            </w:pPr>
            <w:r>
              <w:rPr>
                <w:rFonts w:ascii="Times New Roman" w:hAnsi="Times New Roman"/>
                <w:sz w:val="20"/>
              </w:rPr>
              <w:t>Jerome P. Grisko, Jr.</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&amp; Chief Executive Officer, Director</w:t>
              <w:b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Brad S. Lakhia</w:t>
            </w:r>
          </w:p>
          <w:p>
            <w:pPr>
              <w:pStyle w:val="TableContents"/>
              <w:bidi w:val="0"/>
              <w:spacing w:before="0" w:after="20"/>
              <w:jc w:val="center"/>
              <w:rPr>
                <w:rFonts w:ascii="Times New Roman" w:hAnsi="Times New Roman"/>
                <w:sz w:val="20"/>
              </w:rPr>
            </w:pPr>
            <w:r>
              <w:rPr>
                <w:rFonts w:ascii="Times New Roman" w:hAnsi="Times New Roman"/>
                <w:sz w:val="20"/>
              </w:rPr>
              <w:t>Brad S. Lakhia</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Senior Vice President &amp; Chief Financial Officer</w:t>
              <w:br/>
              <w:t>(Principal Financial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Mangan</w:t>
            </w:r>
          </w:p>
          <w:p>
            <w:pPr>
              <w:pStyle w:val="TableContents"/>
              <w:bidi w:val="0"/>
              <w:spacing w:before="0" w:after="20"/>
              <w:jc w:val="center"/>
              <w:rPr>
                <w:rFonts w:ascii="Times New Roman" w:hAnsi="Times New Roman"/>
                <w:sz w:val="20"/>
              </w:rPr>
            </w:pPr>
            <w:r>
              <w:rPr>
                <w:rFonts w:ascii="Times New Roman" w:hAnsi="Times New Roman"/>
                <w:sz w:val="20"/>
              </w:rPr>
              <w:t>Michael Mangan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Chief Accounting Officer</w:t>
              <w:br/>
              <w:t>(Principal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Rick L. Burdick</w:t>
            </w:r>
          </w:p>
          <w:p>
            <w:pPr>
              <w:pStyle w:val="TableContents"/>
              <w:bidi w:val="0"/>
              <w:spacing w:before="0" w:after="20"/>
              <w:jc w:val="center"/>
              <w:rPr>
                <w:rFonts w:ascii="Times New Roman" w:hAnsi="Times New Roman"/>
                <w:sz w:val="20"/>
              </w:rPr>
            </w:pPr>
            <w:r>
              <w:rPr>
                <w:rFonts w:ascii="Times New Roman" w:hAnsi="Times New Roman"/>
                <w:sz w:val="20"/>
              </w:rPr>
              <w:t>Rick L. Burdick</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Chairman</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Gina D. France</w:t>
            </w:r>
          </w:p>
          <w:p>
            <w:pPr>
              <w:pStyle w:val="TableContents"/>
              <w:bidi w:val="0"/>
              <w:spacing w:before="0" w:after="20"/>
              <w:jc w:val="center"/>
              <w:rPr>
                <w:rFonts w:ascii="Times New Roman" w:hAnsi="Times New Roman"/>
                <w:sz w:val="20"/>
              </w:rPr>
            </w:pPr>
            <w:r>
              <w:rPr>
                <w:rFonts w:ascii="Times New Roman" w:hAnsi="Times New Roman"/>
                <w:sz w:val="20"/>
              </w:rPr>
              <w:t>Gina D. France</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Todd J. Slotkin</w:t>
            </w:r>
          </w:p>
          <w:p>
            <w:pPr>
              <w:pStyle w:val="TableContents"/>
              <w:bidi w:val="0"/>
              <w:spacing w:before="0" w:after="20"/>
              <w:jc w:val="center"/>
              <w:rPr>
                <w:rFonts w:ascii="Times New Roman" w:hAnsi="Times New Roman"/>
                <w:sz w:val="20"/>
              </w:rPr>
            </w:pPr>
            <w:r>
              <w:rPr>
                <w:rFonts w:ascii="Times New Roman" w:hAnsi="Times New Roman"/>
                <w:sz w:val="20"/>
              </w:rPr>
              <w:t>Todd J. Slotkin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207" w:type="dxa"/>
            <w:tcBorders/>
            <w:vAlign w:val="bottom"/>
          </w:tcPr>
          <w:p>
            <w:pPr>
              <w:pStyle w:val="TableContents"/>
              <w:bidi w:val="0"/>
              <w:spacing w:before="0" w:after="283"/>
              <w:jc w:val="left"/>
              <w:rPr/>
            </w:pPr>
            <w:r>
              <w:rPr/>
              <w:t>  </w:t>
            </w:r>
          </w:p>
        </w:tc>
        <w:tc>
          <w:tcPr>
            <w:tcW w:w="531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 Haag Sherman</w:t>
            </w:r>
          </w:p>
          <w:p>
            <w:pPr>
              <w:pStyle w:val="TableContents"/>
              <w:bidi w:val="0"/>
              <w:spacing w:before="0" w:after="20"/>
              <w:jc w:val="center"/>
              <w:rPr>
                <w:rFonts w:ascii="Times New Roman" w:hAnsi="Times New Roman"/>
                <w:sz w:val="20"/>
              </w:rPr>
            </w:pPr>
            <w:r>
              <w:rPr>
                <w:rFonts w:ascii="Times New Roman" w:hAnsi="Times New Roman"/>
                <w:sz w:val="20"/>
              </w:rPr>
              <w:t>A. Haag Sherman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Richard T. Marabito</w:t>
            </w:r>
          </w:p>
          <w:p>
            <w:pPr>
              <w:pStyle w:val="TableContents"/>
              <w:bidi w:val="0"/>
              <w:spacing w:before="0" w:after="20"/>
              <w:jc w:val="center"/>
              <w:rPr>
                <w:rFonts w:ascii="Times New Roman" w:hAnsi="Times New Roman"/>
                <w:sz w:val="20"/>
              </w:rPr>
            </w:pPr>
            <w:r>
              <w:rPr>
                <w:rFonts w:ascii="Times New Roman" w:hAnsi="Times New Roman"/>
                <w:sz w:val="20"/>
              </w:rPr>
              <w:t>Richard T. Marabito</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Rodney A. Young</w:t>
            </w:r>
          </w:p>
          <w:p>
            <w:pPr>
              <w:pStyle w:val="TableContents"/>
              <w:bidi w:val="0"/>
              <w:spacing w:before="0" w:after="20"/>
              <w:jc w:val="center"/>
              <w:rPr>
                <w:rFonts w:ascii="Times New Roman" w:hAnsi="Times New Roman"/>
                <w:sz w:val="20"/>
              </w:rPr>
            </w:pPr>
            <w:r>
              <w:rPr>
                <w:rFonts w:ascii="Times New Roman" w:hAnsi="Times New Roman"/>
                <w:sz w:val="20"/>
              </w:rPr>
              <w:t>Rodney A. Young</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Kathy A. Raffa</w:t>
            </w:r>
          </w:p>
          <w:p>
            <w:pPr>
              <w:pStyle w:val="TableContents"/>
              <w:bidi w:val="0"/>
              <w:spacing w:before="0" w:after="20"/>
              <w:jc w:val="center"/>
              <w:rPr>
                <w:rFonts w:ascii="Times New Roman" w:hAnsi="Times New Roman"/>
                <w:sz w:val="20"/>
              </w:rPr>
            </w:pPr>
            <w:r>
              <w:rPr>
                <w:rFonts w:ascii="Times New Roman" w:hAnsi="Times New Roman"/>
                <w:sz w:val="20"/>
              </w:rPr>
              <w:t>Kathy A. Raffa</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bl>
    <w:p>
      <w:pPr>
        <w:pStyle w:val="TextBody"/>
        <w:bidi w:val="0"/>
        <w:spacing w:before="0" w:after="0"/>
        <w:jc w:val="right"/>
        <w:rPr>
          <w:rFonts w:ascii="Times New Roman" w:hAnsi="Times New Roman"/>
          <w:b/>
          <w:sz w:val="20"/>
        </w:rPr>
      </w:pPr>
      <w:bookmarkStart w:id="16" w:name="d33368dex51.htm"/>
      <w:bookmarkStart w:id="17" w:name="ksd33368dex51"/>
      <w:bookmarkEnd w:id="16"/>
      <w:bookmarkEnd w:id="17"/>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2752725"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2752725" cy="19050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767 Fifth Avenue </w:t>
      </w:r>
    </w:p>
    <w:p>
      <w:pPr>
        <w:pStyle w:val="TextBody"/>
        <w:bidi w:val="0"/>
        <w:spacing w:before="0" w:after="0"/>
        <w:jc w:val="right"/>
        <w:rPr>
          <w:rFonts w:ascii="Times New Roman" w:hAnsi="Times New Roman"/>
          <w:sz w:val="20"/>
        </w:rPr>
      </w:pPr>
      <w:r>
        <w:rPr>
          <w:rFonts w:ascii="Times New Roman" w:hAnsi="Times New Roman"/>
          <w:sz w:val="20"/>
        </w:rPr>
        <w:t xml:space="preserve">New York, NY 10153-0119 </w:t>
      </w:r>
    </w:p>
    <w:p>
      <w:pPr>
        <w:pStyle w:val="TextBody"/>
        <w:bidi w:val="0"/>
        <w:spacing w:before="0" w:after="0"/>
        <w:jc w:val="right"/>
        <w:rPr>
          <w:rFonts w:ascii="Times New Roman" w:hAnsi="Times New Roman"/>
          <w:sz w:val="20"/>
        </w:rPr>
      </w:pPr>
      <w:r>
        <w:rPr>
          <w:rFonts w:ascii="Times New Roman" w:hAnsi="Times New Roman"/>
          <w:sz w:val="20"/>
        </w:rPr>
        <w:t xml:space="preserve">+1 212 310 8000 tel </w:t>
      </w:r>
    </w:p>
    <w:p>
      <w:pPr>
        <w:pStyle w:val="TextBody"/>
        <w:bidi w:val="0"/>
        <w:spacing w:before="0" w:after="0"/>
        <w:jc w:val="right"/>
        <w:rPr>
          <w:rFonts w:ascii="Times New Roman" w:hAnsi="Times New Roman"/>
          <w:sz w:val="20"/>
        </w:rPr>
      </w:pPr>
      <w:r>
        <w:rPr>
          <w:rFonts w:ascii="Times New Roman" w:hAnsi="Times New Roman"/>
          <w:sz w:val="20"/>
        </w:rPr>
        <w:t xml:space="preserve">+1 212 310 8007 fax </w:t>
      </w:r>
    </w:p>
    <w:p>
      <w:pPr>
        <w:pStyle w:val="TextBody"/>
        <w:bidi w:val="0"/>
        <w:spacing w:before="240" w:after="0"/>
        <w:jc w:val="left"/>
        <w:rPr>
          <w:rFonts w:ascii="Times New Roman" w:hAnsi="Times New Roman"/>
          <w:sz w:val="20"/>
        </w:rPr>
      </w:pPr>
      <w:r>
        <w:rPr>
          <w:rFonts w:ascii="Times New Roman" w:hAnsi="Times New Roman"/>
          <w:sz w:val="20"/>
        </w:rPr>
        <w:t xml:space="preserve">August 6, 2026 </w:t>
      </w:r>
    </w:p>
    <w:p>
      <w:pPr>
        <w:pStyle w:val="TextBody"/>
        <w:bidi w:val="0"/>
        <w:spacing w:before="240" w:after="0"/>
        <w:jc w:val="left"/>
        <w:rPr>
          <w:rFonts w:ascii="Times New Roman" w:hAnsi="Times New Roman"/>
          <w:sz w:val="20"/>
        </w:rPr>
      </w:pPr>
      <w:r>
        <w:rPr>
          <w:rFonts w:ascii="Times New Roman" w:hAnsi="Times New Roman"/>
          <w:sz w:val="20"/>
        </w:rPr>
        <w:t xml:space="preserve">CBIZ, Inc. </w:t>
      </w:r>
    </w:p>
    <w:p>
      <w:pPr>
        <w:pStyle w:val="TextBody"/>
        <w:bidi w:val="0"/>
        <w:spacing w:before="0" w:after="0"/>
        <w:jc w:val="left"/>
        <w:rPr>
          <w:rFonts w:ascii="Times New Roman" w:hAnsi="Times New Roman"/>
          <w:sz w:val="20"/>
        </w:rPr>
      </w:pPr>
      <w:r>
        <w:rPr>
          <w:rFonts w:ascii="Times New Roman" w:hAnsi="Times New Roman"/>
          <w:sz w:val="20"/>
        </w:rPr>
        <w:t xml:space="preserve">5959 Rockside Woods Blvd. N. </w:t>
      </w:r>
    </w:p>
    <w:p>
      <w:pPr>
        <w:pStyle w:val="TextBody"/>
        <w:bidi w:val="0"/>
        <w:spacing w:before="0" w:after="0"/>
        <w:jc w:val="left"/>
        <w:rPr>
          <w:rFonts w:ascii="Times New Roman" w:hAnsi="Times New Roman"/>
          <w:sz w:val="20"/>
        </w:rPr>
      </w:pPr>
      <w:r>
        <w:rPr>
          <w:rFonts w:ascii="Times New Roman" w:hAnsi="Times New Roman"/>
          <w:sz w:val="20"/>
        </w:rPr>
        <w:t xml:space="preserve">Suite 600 </w:t>
      </w:r>
    </w:p>
    <w:p>
      <w:pPr>
        <w:pStyle w:val="TextBody"/>
        <w:bidi w:val="0"/>
        <w:spacing w:before="0" w:after="0"/>
        <w:jc w:val="left"/>
        <w:rPr>
          <w:rFonts w:ascii="Times New Roman" w:hAnsi="Times New Roman"/>
          <w:sz w:val="20"/>
        </w:rPr>
      </w:pPr>
      <w:r>
        <w:rPr>
          <w:rFonts w:ascii="Times New Roman" w:hAnsi="Times New Roman"/>
          <w:sz w:val="20"/>
        </w:rPr>
        <w:t xml:space="preserve">Independence, Ohio 44131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CBIZ, Inc., a Delaware corporation (the “</w:t>
      </w:r>
      <w:r>
        <w:rPr>
          <w:rFonts w:ascii="Times New Roman" w:hAnsi="Times New Roman"/>
          <w:sz w:val="20"/>
          <w:u w:val="single"/>
        </w:rPr>
        <w:t>Company</w:t>
      </w:r>
      <w:r>
        <w:rPr>
          <w:rFonts w:ascii="Times New Roman" w:hAnsi="Times New Roman"/>
          <w:sz w:val="20"/>
        </w:rPr>
        <w:t>”), in connection with the preparation and filing with the Securities and Exchange Commission (the “</w:t>
      </w:r>
      <w:r>
        <w:rPr>
          <w:rFonts w:ascii="Times New Roman" w:hAnsi="Times New Roman"/>
          <w:sz w:val="20"/>
          <w:u w:val="single"/>
        </w:rPr>
        <w:t>Commission</w:t>
      </w:r>
      <w:r>
        <w:rPr>
          <w:rFonts w:ascii="Times New Roman" w:hAnsi="Times New Roman"/>
          <w:sz w:val="20"/>
        </w:rPr>
        <w:t>”) of the Company’s Registration Statement on Form S-3 filed on the date hereof (as amended, the “</w:t>
      </w:r>
      <w:r>
        <w:rPr>
          <w:rFonts w:ascii="Times New Roman" w:hAnsi="Times New Roman"/>
          <w:sz w:val="20"/>
          <w:u w:val="single"/>
        </w:rPr>
        <w:t>Registration Statement</w:t>
      </w:r>
      <w:r>
        <w:rPr>
          <w:rFonts w:ascii="Times New Roman" w:hAnsi="Times New Roman"/>
          <w:sz w:val="20"/>
        </w:rPr>
        <w:t>”), under the Securities Act of 1933, as amended (the “</w:t>
      </w:r>
      <w:r>
        <w:rPr>
          <w:rFonts w:ascii="Times New Roman" w:hAnsi="Times New Roman"/>
          <w:sz w:val="20"/>
          <w:u w:val="single"/>
        </w:rPr>
        <w:t>Act</w:t>
      </w:r>
      <w:r>
        <w:rPr>
          <w:rFonts w:ascii="Times New Roman" w:hAnsi="Times New Roman"/>
          <w:sz w:val="20"/>
        </w:rPr>
        <w:t>”), relating to the Company’s offer to rescind the previous acquisition of up to 481,049 shares of the Company’s common stock, par value $0.01 per share (the “</w:t>
      </w:r>
      <w:r>
        <w:rPr>
          <w:rFonts w:ascii="Times New Roman" w:hAnsi="Times New Roman"/>
          <w:sz w:val="20"/>
          <w:u w:val="single"/>
        </w:rPr>
        <w:t>Shares</w:t>
      </w:r>
      <w:r>
        <w:rPr>
          <w:rFonts w:ascii="Times New Roman" w:hAnsi="Times New Roman"/>
          <w:sz w:val="20"/>
        </w:rPr>
        <w:t xml:space="preserve">”) by persons who acquired such Shares pursuant to the CBIZ, Inc. 2007 Employee Stock Purchase Plan (as amended and restated from time to time) between October 16, 2023 and April 15, 2026. </w:t>
      </w:r>
    </w:p>
    <w:p>
      <w:pPr>
        <w:pStyle w:val="TextBody"/>
        <w:bidi w:val="0"/>
        <w:spacing w:before="240" w:after="0"/>
        <w:jc w:val="left"/>
        <w:rPr>
          <w:rFonts w:ascii="Times New Roman" w:hAnsi="Times New Roman"/>
          <w:sz w:val="20"/>
        </w:rPr>
      </w:pPr>
      <w:r>
        <w:rPr>
          <w:rFonts w:ascii="Times New Roman" w:hAnsi="Times New Roman"/>
          <w:sz w:val="20"/>
        </w:rPr>
        <w:t xml:space="preserve">In so acting, we have examined originals or copies (certified or otherwise identified to our satisfaction) of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qualifications stated herein, we are of the opinion that the Shares are validly issued, fully paid and nonassessable.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819275" cy="123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1819275" cy="1238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August 6,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 expressed herein is limited to the corporate laws of the State of Delaware, and we express no opinion as to the effect on the matters covered by this letter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letter as an exhibit to the Registration Statement and to the reference to our firm under the caption “Legal Matters” in the prospectus which is a part of the Registration Statement. In giving such consent, we do not hereby admit that we are in the category of persons whose consent is required under Section 7 of the Act or the rules and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Weil, Gotshal &amp; Manges LLP </w:t>
      </w:r>
    </w:p>
    <w:p>
      <w:pPr>
        <w:pStyle w:val="TextBody"/>
        <w:bidi w:val="0"/>
        <w:spacing w:before="0" w:after="0"/>
        <w:jc w:val="right"/>
        <w:rPr>
          <w:rFonts w:ascii="Times New Roman" w:hAnsi="Times New Roman"/>
          <w:b/>
          <w:sz w:val="20"/>
        </w:rPr>
      </w:pPr>
      <w:bookmarkStart w:id="18" w:name="d33368dex231.htm"/>
      <w:bookmarkStart w:id="19" w:name="ksd33368dex231"/>
      <w:bookmarkEnd w:id="18"/>
      <w:bookmarkEnd w:id="19"/>
      <w:r>
        <w:rPr>
          <w:rFonts w:ascii="Times New Roman" w:hAnsi="Times New Roman"/>
          <w:b/>
          <w:sz w:val="20"/>
        </w:rPr>
        <w:t xml:space="preserve">Exhibit 23.1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895350"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0"/>
                    <a:stretch>
                      <a:fillRect/>
                    </a:stretch>
                  </pic:blipFill>
                  <pic:spPr bwMode="auto">
                    <a:xfrm>
                      <a:off x="0" y="0"/>
                      <a:ext cx="895350" cy="3524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4"/>
        <w:gridCol w:w="128"/>
        <w:gridCol w:w="7883"/>
      </w:tblGrid>
      <w:tr>
        <w:trPr/>
        <w:tc>
          <w:tcPr>
            <w:tcW w:w="219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883" w:type="dxa"/>
            <w:tcBorders/>
            <w:vAlign w:val="center"/>
          </w:tcPr>
          <w:p>
            <w:pPr>
              <w:pStyle w:val="TableContents"/>
              <w:bidi w:val="0"/>
              <w:spacing w:before="0" w:after="283"/>
              <w:jc w:val="left"/>
              <w:rPr>
                <w:sz w:val="4"/>
                <w:szCs w:val="4"/>
              </w:rPr>
            </w:pPr>
            <w:r>
              <w:rPr>
                <w:sz w:val="4"/>
                <w:szCs w:val="4"/>
              </w:rPr>
            </w:r>
          </w:p>
        </w:tc>
      </w:tr>
      <w:tr>
        <w:trPr/>
        <w:tc>
          <w:tcPr>
            <w:tcW w:w="2194"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883" w:type="dxa"/>
            <w:tcBorders/>
          </w:tcPr>
          <w:p>
            <w:pPr>
              <w:pStyle w:val="TableContents"/>
              <w:bidi w:val="0"/>
              <w:spacing w:before="0" w:after="0"/>
              <w:jc w:val="left"/>
              <w:rPr>
                <w:rFonts w:ascii="Times New Roman" w:hAnsi="Times New Roman"/>
                <w:sz w:val="20"/>
              </w:rPr>
            </w:pPr>
            <w:r>
              <w:rPr>
                <w:rFonts w:ascii="Times New Roman" w:hAnsi="Times New Roman"/>
                <w:sz w:val="20"/>
              </w:rPr>
              <w:t>KPMG LLP</w:t>
            </w:r>
          </w:p>
          <w:p>
            <w:pPr>
              <w:pStyle w:val="TableContents"/>
              <w:bidi w:val="0"/>
              <w:spacing w:before="0" w:after="0"/>
              <w:jc w:val="left"/>
              <w:rPr>
                <w:rFonts w:ascii="Times New Roman" w:hAnsi="Times New Roman"/>
                <w:sz w:val="20"/>
              </w:rPr>
            </w:pPr>
            <w:r>
              <w:rPr>
                <w:rFonts w:ascii="Times New Roman" w:hAnsi="Times New Roman"/>
                <w:sz w:val="20"/>
              </w:rPr>
              <w:t>Suite 460</w:t>
            </w:r>
          </w:p>
          <w:p>
            <w:pPr>
              <w:pStyle w:val="TableContents"/>
              <w:bidi w:val="0"/>
              <w:spacing w:before="0" w:after="0"/>
              <w:jc w:val="left"/>
              <w:rPr>
                <w:rFonts w:ascii="Times New Roman" w:hAnsi="Times New Roman"/>
                <w:sz w:val="20"/>
              </w:rPr>
            </w:pPr>
            <w:r>
              <w:rPr>
                <w:rFonts w:ascii="Times New Roman" w:hAnsi="Times New Roman"/>
                <w:sz w:val="20"/>
              </w:rPr>
              <w:t>1500 W. 3rd Street</w:t>
            </w:r>
          </w:p>
          <w:p>
            <w:pPr>
              <w:pStyle w:val="TableContents"/>
              <w:bidi w:val="0"/>
              <w:spacing w:before="0" w:after="20"/>
              <w:jc w:val="left"/>
              <w:rPr>
                <w:rFonts w:ascii="Times New Roman" w:hAnsi="Times New Roman"/>
                <w:sz w:val="20"/>
              </w:rPr>
            </w:pPr>
            <w:r>
              <w:rPr>
                <w:rFonts w:ascii="Times New Roman" w:hAnsi="Times New Roman"/>
                <w:sz w:val="20"/>
              </w:rPr>
              <w:t>Cleveland, OH 44113-1422</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February 26, 2026, except for Notes 1, 3, 6, and 19 and the restatement as to the effectiveness of internal control over financial reporting for the material weaknesses, as to which the date is August 4, 2026, with respect to the consolidated financial statements of CBIZ, Inc. and our report dated February 26, 2026, except for the restatement for the material weaknesses, as to which the date is August 4, 2026, with respect to the effectiveness of internal control over financial reporting, incorporated herein by reference, and to the reference to our firm under the heading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Cleveland, Ohio </w:t>
      </w:r>
    </w:p>
    <w:p>
      <w:pPr>
        <w:pStyle w:val="TextBody"/>
        <w:bidi w:val="0"/>
        <w:spacing w:before="0" w:after="0"/>
        <w:jc w:val="left"/>
        <w:rPr>
          <w:rFonts w:ascii="Times New Roman" w:hAnsi="Times New Roman"/>
          <w:sz w:val="20"/>
        </w:rPr>
      </w:pPr>
      <w:r>
        <w:rPr>
          <w:rFonts w:ascii="Times New Roman" w:hAnsi="Times New Roman"/>
          <w:sz w:val="20"/>
        </w:rPr>
        <w:t xml:space="preserve">August 6,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9"/>
        <w:gridCol w:w="100"/>
        <w:gridCol w:w="6126"/>
        <w:gridCol w:w="100"/>
        <w:gridCol w:w="1940"/>
      </w:tblGrid>
      <w:tr>
        <w:trPr/>
        <w:tc>
          <w:tcPr>
            <w:tcW w:w="193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6126"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939"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KPMG LLP, a Delaware limited liability partnership, and its subsidiaries are part of</w:t>
            </w:r>
          </w:p>
          <w:p>
            <w:pPr>
              <w:pStyle w:val="TableContents"/>
              <w:bidi w:val="0"/>
              <w:spacing w:before="0" w:after="0"/>
              <w:jc w:val="left"/>
              <w:rPr>
                <w:rFonts w:ascii="Times New Roman" w:hAnsi="Times New Roman"/>
                <w:sz w:val="20"/>
              </w:rPr>
            </w:pPr>
            <w:r>
              <w:rPr>
                <w:rFonts w:ascii="Times New Roman" w:hAnsi="Times New Roman"/>
                <w:sz w:val="20"/>
              </w:rPr>
              <w:t>the KPMG global organization of independent member firms affiliated with KPMG</w:t>
            </w:r>
          </w:p>
          <w:p>
            <w:pPr>
              <w:pStyle w:val="TableContents"/>
              <w:bidi w:val="0"/>
              <w:spacing w:before="0" w:after="20"/>
              <w:jc w:val="left"/>
              <w:rPr>
                <w:rFonts w:ascii="Times New Roman" w:hAnsi="Times New Roman"/>
                <w:sz w:val="20"/>
              </w:rPr>
            </w:pPr>
            <w:r>
              <w:rPr>
                <w:rFonts w:ascii="Times New Roman" w:hAnsi="Times New Roman"/>
                <w:sz w:val="20"/>
              </w:rPr>
              <w:t>International Limited, a private English company limited by guarantee.</w:t>
            </w:r>
          </w:p>
        </w:tc>
        <w:tc>
          <w:tcPr>
            <w:tcW w:w="100"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 w:name="d33368dexfilingfees.htm"/>
      <w:bookmarkStart w:id="21" w:name="ksd33368dexfilingfees"/>
      <w:bookmarkStart w:id="22" w:name="d33368dexfilingfees.htm"/>
      <w:bookmarkStart w:id="23" w:name="ksd33368dexfilingfees"/>
      <w:bookmarkEnd w:id="22"/>
      <w:bookmarkEnd w:id="23"/>
      <w:r>
        <w:br w:type="page"/>
      </w:r>
    </w:p>
    <w:tbl>
      <w:tblPr>
        <w:tblW w:w="3504" w:type="dxa"/>
        <w:jc w:val="left"/>
        <w:tblInd w:w="0" w:type="dxa"/>
        <w:tblLayout w:type="fixed"/>
        <w:tblCellMar>
          <w:top w:w="28" w:type="dxa"/>
          <w:left w:w="28" w:type="dxa"/>
          <w:bottom w:w="28" w:type="dxa"/>
          <w:right w:w="28" w:type="dxa"/>
        </w:tblCellMar>
      </w:tblPr>
      <w:tblGrid>
        <w:gridCol w:w="3350"/>
        <w:gridCol w:w="154"/>
      </w:tblGrid>
      <w:tr>
        <w:trPr/>
        <w:tc>
          <w:tcPr>
            <w:tcW w:w="350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5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b/>
              </w:rPr>
            </w:pPr>
            <w:r>
              <w:rPr>
                <w:b/>
              </w:rPr>
              <w:t xml:space="preserve">CBIZ,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481,049 </w:t>
            </w:r>
          </w:p>
        </w:tc>
        <w:tc>
          <w:tcPr>
            <w:tcW w:w="1156" w:type="dxa"/>
            <w:tcBorders/>
            <w:shd w:fill="E7E7E2" w:val="clear"/>
            <w:vAlign w:val="center"/>
          </w:tcPr>
          <w:p>
            <w:pPr>
              <w:pStyle w:val="TableContents"/>
              <w:bidi w:val="0"/>
              <w:spacing w:before="0" w:after="283"/>
              <w:jc w:val="right"/>
              <w:rPr/>
            </w:pPr>
            <w:r>
              <w:rPr/>
              <w:t xml:space="preserve">$ 86.82 </w:t>
            </w:r>
          </w:p>
        </w:tc>
        <w:tc>
          <w:tcPr>
            <w:tcW w:w="1666" w:type="dxa"/>
            <w:tcBorders/>
            <w:shd w:fill="E7E7E2" w:val="clear"/>
            <w:vAlign w:val="center"/>
          </w:tcPr>
          <w:p>
            <w:pPr>
              <w:pStyle w:val="TableContents"/>
              <w:bidi w:val="0"/>
              <w:spacing w:before="0" w:after="283"/>
              <w:jc w:val="right"/>
              <w:rPr/>
            </w:pPr>
            <w:r>
              <w:rPr/>
              <w:t xml:space="preserve">$ 41,764,674.18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$ 5,767.71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4" w:name="MaxAggtOfferingPrice"/>
            <w:bookmarkEnd w:id="24"/>
            <w:r>
              <w:rPr/>
              <w:t xml:space="preserve">$ 41,764,674.18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5" w:name="TotalFeeAmt"/>
            <w:bookmarkEnd w:id="25"/>
            <w:r>
              <w:rPr/>
              <w:t xml:space="preserve">$ 5,767.71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PreviouslyPaid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Offset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NetFeeAmt"/>
            <w:bookmarkEnd w:id="28"/>
            <w:r>
              <w:rPr/>
              <w:t xml:space="preserve">$ 5,767.71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9"/>
        <w:gridCol w:w="1298"/>
        <w:gridCol w:w="8698"/>
      </w:tblGrid>
      <w:tr>
        <w:trPr/>
        <w:tc>
          <w:tcPr>
            <w:tcW w:w="20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6" w:type="dxa"/>
            <w:gridSpan w:val="2"/>
            <w:tcBorders/>
            <w:vAlign w:val="center"/>
          </w:tcPr>
          <w:p>
            <w:pPr>
              <w:pStyle w:val="TableContents"/>
              <w:bidi w:val="0"/>
              <w:spacing w:before="0" w:after="283"/>
              <w:jc w:val="left"/>
              <w:rPr/>
            </w:pPr>
            <w:r>
              <w:rPr/>
              <w:t xml:space="preserve">Calculated pursuant to Rule 457(j) on the basis of the amount at which such securities were sold. The Proposed Maximum Offering Price Per Unit is the highest price, excluding interest, to be payable per share in connection with the rescission offer covered by this registration statement. The price per share will range from $26.12 per share to $86.82 per share, depending on the price originally paid by the offeree. </w:t>
            </w:r>
          </w:p>
        </w:tc>
      </w:tr>
      <w:tr>
        <w:trPr/>
        <w:tc>
          <w:tcPr>
            <w:tcW w:w="1507" w:type="dxa"/>
            <w:gridSpan w:val="2"/>
            <w:tcBorders/>
            <w:vAlign w:val="center"/>
          </w:tcPr>
          <w:p>
            <w:pPr>
              <w:pStyle w:val="HorizontalLine"/>
              <w:pBdr>
                <w:bottom w:val="double" w:sz="2" w:space="0" w:color="808080"/>
              </w:pBdr>
              <w:bidi w:val="0"/>
              <w:spacing w:before="0" w:after="283"/>
              <w:jc w:val="left"/>
              <w:rPr/>
            </w:pPr>
            <w:r>
              <w:rPr/>
            </w:r>
          </w:p>
        </w:tc>
        <w:tc>
          <w:tcPr>
            <w:tcW w:w="869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3">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944148/000094414826000038/cbz-20251231.htm" TargetMode="External"/><Relationship Id="rId3" Type="http://schemas.openxmlformats.org/officeDocument/2006/relationships/hyperlink" Target="http://www.sec.gov/Archives/edgar/data/../../../ix?doc=/Archives/edgar/data/944148/000094414826000043/cbz-20251231.htm" TargetMode="External"/><Relationship Id="rId4" Type="http://schemas.openxmlformats.org/officeDocument/2006/relationships/hyperlink" Target="http://www.sec.gov/Archives/edgar/data/../../../ix?doc=/Archives/edgar/data/0000944148/000094414826000094/cbz-20251231.htm" TargetMode="External"/><Relationship Id="rId5" Type="http://schemas.openxmlformats.org/officeDocument/2006/relationships/hyperlink" Target="http://www.sec.gov/Archives/edgar/data/../../../ix?doc=/Archives/edgar/data/0000944148/000094414826000069/cbz-20260331.htm" TargetMode="External"/><Relationship Id="rId6" Type="http://schemas.openxmlformats.org/officeDocument/2006/relationships/hyperlink" Target="http://www.sec.gov/Archives/edgar/data/../../../ix?doc=/Archives/edgar/data/0000944148/000094414826000096/cbz-20260630.htm" TargetMode="External"/><Relationship Id="rId7" Type="http://schemas.openxmlformats.org/officeDocument/2006/relationships/hyperlink" Target="http://www.sec.gov/Archives/edgar/data/944148/000119312526140188/d77663ddef14a.htm" TargetMode="External"/><Relationship Id="rId8" Type="http://schemas.openxmlformats.org/officeDocument/2006/relationships/hyperlink" Target="http://www.sec.gov/Archives/edgar/data/../../../ix?doc=/Archives/edgar/data/944148/000119312526012290/d788584d8k.htm" TargetMode="External"/><Relationship Id="rId9" Type="http://schemas.openxmlformats.org/officeDocument/2006/relationships/hyperlink" Target="http://www.sec.gov/Archives/edgar/data/../../../ix?doc=/Archives/edgar/data/944148/000094414826000024/cbz-20260211.htm" TargetMode="External"/><Relationship Id="rId10" Type="http://schemas.openxmlformats.org/officeDocument/2006/relationships/hyperlink" Target="http://www.sec.gov/Archives/edgar/data/../../../ix?doc=/Archives/edgar/data/944148/000094414826000072/cbz-20260514.htm" TargetMode="External"/><Relationship Id="rId11" Type="http://schemas.openxmlformats.org/officeDocument/2006/relationships/hyperlink" Target="http://www.sec.gov/Archives/edgar/data/../../../ix?doc=/Archives/edgar/data/0000944148/000119312526322225/d174772d8k.htm" TargetMode="External"/><Relationship Id="rId12" Type="http://schemas.openxmlformats.org/officeDocument/2006/relationships/hyperlink" Target="http://www.sec.gov/Archives/edgar/data/../../../ix?doc=/Archives/edgar/data/0000944148/000119312526322239/d114410d8k.htm" TargetMode="External"/><Relationship Id="rId13" Type="http://schemas.openxmlformats.org/officeDocument/2006/relationships/hyperlink" Target="http://www.sec.gov/Archives/edgar/data/944148/000094414826000038/exhibit42cbiz-descriptiono.htm" TargetMode="External"/><Relationship Id="rId14" Type="http://schemas.openxmlformats.org/officeDocument/2006/relationships/hyperlink" Target="http://www.sec.gov/Archives/edgar/data/944148/000119312526322225/d174772dex21.htm" TargetMode="External"/><Relationship Id="rId15" Type="http://schemas.openxmlformats.org/officeDocument/2006/relationships/hyperlink" Target="http://www.sec.gov/Archives/edgar/data/944148/000119312519157026/d757691dex31.htm" TargetMode="External"/><Relationship Id="rId16" Type="http://schemas.openxmlformats.org/officeDocument/2006/relationships/hyperlink" Target="http://www.sec.gov/Archives/edgar/data/944148/000095015206002186/l17854aexv3w5.htm" TargetMode="External"/><Relationship Id="rId17" Type="http://schemas.openxmlformats.org/officeDocument/2006/relationships/hyperlink" Target="http://www.sec.gov/Archives/edgar/data/944148/000094414825000027/exhibit31amendedandrestate.htm" TargetMode="External"/><Relationship Id="rId18" Type="http://schemas.openxmlformats.org/officeDocument/2006/relationships/image" Target="media/image1.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23165</Words>
  <Characters>120157</Characters>
  <CharactersWithSpaces>144273</CharactersWithSpaces>
  <Paragraphs>1952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