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Lakhia Brad S.</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CBIZ,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CBZ</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00" w:type="dxa"/>
            <w:vAlign w:val="bottom"/>
            <w:tcBorders>
              <w:top w:val="single" w:sz="8" w:color="0000EE"/>
              <w:bottom w:val="single" w:sz="8" w:color="9A9A9A"/>
            </w:tcBorders>
          </w:tcPr>
          <w:p>
            <w:pPr>
              <w:spacing w:after="0"/>
              <w:rPr>
                <w:sz w:val="16"/>
                <w:szCs w:val="16"/>
                <w:color w:val="auto"/>
              </w:rPr>
            </w:pPr>
          </w:p>
        </w:tc>
        <w:tc>
          <w:tcPr>
            <w:tcW w:w="10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0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CBIZ, INC.</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03/06/2026</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5959 ROCKSIDE WOODS BLVD. N., SUITE 600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Senior Vice President &amp; CFO</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8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1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120" w:type="dxa"/>
            <w:vAlign w:val="bottom"/>
            <w:gridSpan w:val="2"/>
            <w:vMerge w:val="continue"/>
          </w:tcPr>
          <w:p>
            <w:pPr>
              <w:spacing w:after="0"/>
              <w:rPr>
                <w:sz w:val="8"/>
                <w:szCs w:val="8"/>
                <w:color w:val="auto"/>
              </w:rPr>
            </w:pPr>
          </w:p>
        </w:tc>
        <w:tc>
          <w:tcPr>
            <w:tcW w:w="15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INDEPENDENCE OH</w:t>
            </w:r>
          </w:p>
        </w:tc>
        <w:tc>
          <w:tcPr>
            <w:tcW w:w="1560" w:type="dxa"/>
            <w:vAlign w:val="bottom"/>
            <w:vMerge w:val="restart"/>
          </w:tcPr>
          <w:p>
            <w:pPr>
              <w:jc w:val="right"/>
              <w:ind w:right="613"/>
              <w:spacing w:after="0"/>
              <w:rPr>
                <w:sz w:val="20"/>
                <w:szCs w:val="20"/>
                <w:color w:val="auto"/>
              </w:rPr>
            </w:pPr>
            <w:r>
              <w:rPr>
                <w:rFonts w:ascii="Times New Roman" w:cs="Times New Roman" w:eastAsia="Times New Roman" w:hAnsi="Times New Roman"/>
                <w:sz w:val="17"/>
                <w:szCs w:val="17"/>
                <w:color w:val="0000FF"/>
              </w:rPr>
              <w:t>44131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8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65,941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106,525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28,025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134,550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6, 2026, the reporting person was granted 65,941 restricted stock units, vesting in full on the second anniversary of the grant date, subject to the reporting person's continued employment with the issuer through such date. Restricted stock units convert into common stock on a one-for-one basis.</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6, 2026, the reporting person was granted 28,025 restricted stock units, vesting in three equal annual installments beginning on the first anniversary of the grant date. Restricted stock units convert into common stock on a one-for-one basis.</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Jaileah X. Huddleston,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33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Brad S.</w:t>
        <w:tab/>
        <w:t>03/10/2026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Lakhia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5728" TargetMode="External"/><Relationship Id="rId14" Type="http://schemas.openxmlformats.org/officeDocument/2006/relationships/hyperlink" Target="http://www.sec.gov/cgi-bin/browse-edgar?action=getcompany&amp;CIK=00009441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2026-03-10T16:41:02Z</dcterms:created>
  <dcterms:modified xsi:type="dcterms:W3CDTF">2026-03-10T16:41:02Z</dcterms:modified>
</cp:coreProperties>
</file>