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3575d8k.htm"/>
      <w:bookmarkStart w:id="1" w:name="ksd5357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July 29,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CBIZ,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1-32961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22-2769024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5959 Rockside Woods Blvd. N., Suite 600</w:t>
      </w:r>
    </w:p>
    <w:p>
      <w:pPr>
        <w:pStyle w:val="TextBody"/>
        <w:bidi w:val="0"/>
        <w:spacing w:before="0" w:after="0"/>
        <w:jc w:val="center"/>
        <w:rPr>
          <w:rFonts w:ascii="Times New Roman" w:hAnsi="Times New Roman"/>
          <w:b/>
          <w:sz w:val="20"/>
        </w:rPr>
      </w:pPr>
      <w:r>
        <w:rPr>
          <w:rFonts w:ascii="Times New Roman" w:hAnsi="Times New Roman"/>
          <w:b/>
          <w:sz w:val="20"/>
        </w:rPr>
        <w:t>Independence, Ohio 44131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216-447-9000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July 29, 2026, CBIZ, Inc. (the “Company”) issued a press release announcing its financial results for the three and six months ended June 30, 2026. A copy of the press release is furnished herewith as Exhibit 99.1. The exhibit contains, and may implicate, forward-looking statements regarding the Company and include cautionary statements identified important factors that could cause actual results to differ materially from those anticipated.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53575dex991.htm">
              <w:r>
                <w:rPr>
                  <w:rStyle w:val="InternetLink"/>
                </w:rPr>
                <w:t xml:space="preserve">Press Release of CBIZ, Inc. dated July 29, 2026, announcing its financial results for the three and six months ended June 30,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128" w:type="dxa"/>
        <w:jc w:val="left"/>
        <w:tblInd w:w="0" w:type="dxa"/>
        <w:tblLayout w:type="fixed"/>
        <w:tblCellMar>
          <w:top w:w="0" w:type="dxa"/>
          <w:left w:w="0" w:type="dxa"/>
          <w:bottom w:w="0" w:type="dxa"/>
          <w:right w:w="0" w:type="dxa"/>
        </w:tblCellMar>
      </w:tblPr>
      <w:tblGrid>
        <w:gridCol w:w="818"/>
        <w:gridCol w:w="655"/>
        <w:gridCol w:w="660"/>
        <w:gridCol w:w="60"/>
        <w:gridCol w:w="650"/>
        <w:gridCol w:w="60"/>
        <w:gridCol w:w="2225"/>
      </w:tblGrid>
      <w:tr>
        <w:trPr/>
        <w:tc>
          <w:tcPr>
            <w:tcW w:w="81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vAlign w:val="center"/>
          </w:tcPr>
          <w:p>
            <w:pPr>
              <w:pStyle w:val="TableContents"/>
              <w:bidi w:val="0"/>
              <w:spacing w:before="0" w:after="283"/>
              <w:jc w:val="left"/>
              <w:rPr/>
            </w:pPr>
            <w:r>
              <w:rPr/>
              <w:t> </w:t>
            </w:r>
            <w:r>
              <w:rPr/>
              <w:t>Dated: July 29, 2026</w:t>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b/>
              </w:rPr>
            </w:pPr>
            <w:r>
              <w:rPr>
                <w:b/>
              </w:rPr>
              <w:t>CBIZ, Inc.</w:t>
            </w:r>
          </w:p>
        </w:tc>
      </w:tr>
      <w:tr>
        <w:trPr/>
        <w:tc>
          <w:tcPr>
            <w:tcW w:w="818" w:type="dxa"/>
            <w:tcBorders/>
            <w:vAlign w:val="center"/>
          </w:tcPr>
          <w:p>
            <w:pPr>
              <w:pStyle w:val="TableContents"/>
              <w:bidi w:val="0"/>
              <w:spacing w:before="0" w:after="283"/>
              <w:jc w:val="left"/>
              <w:rPr>
                <w:sz w:val="4"/>
                <w:szCs w:val="4"/>
              </w:rPr>
            </w:pPr>
            <w:r>
              <w:rPr>
                <w:sz w:val="4"/>
                <w:szCs w:val="4"/>
              </w:rPr>
            </w:r>
          </w:p>
        </w:tc>
        <w:tc>
          <w:tcPr>
            <w:tcW w:w="131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818"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 Lakhia</w:t>
            </w:r>
          </w:p>
        </w:tc>
      </w:tr>
      <w:tr>
        <w:trPr/>
        <w:tc>
          <w:tcPr>
            <w:tcW w:w="818"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Brad Lakhia</w:t>
            </w:r>
          </w:p>
        </w:tc>
      </w:tr>
      <w:tr>
        <w:trPr/>
        <w:tc>
          <w:tcPr>
            <w:tcW w:w="818"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53575dex991.htm"/>
      <w:bookmarkStart w:id="3" w:name="ksd53575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7"/>
        <w:gridCol w:w="120"/>
        <w:gridCol w:w="4778"/>
      </w:tblGrid>
      <w:tr>
        <w:trPr/>
        <w:tc>
          <w:tcPr>
            <w:tcW w:w="530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8" w:type="dxa"/>
            <w:tcBorders/>
            <w:vAlign w:val="center"/>
          </w:tcPr>
          <w:p>
            <w:pPr>
              <w:pStyle w:val="TableContents"/>
              <w:bidi w:val="0"/>
              <w:spacing w:before="0" w:after="283"/>
              <w:jc w:val="left"/>
              <w:rPr>
                <w:sz w:val="4"/>
                <w:szCs w:val="4"/>
              </w:rPr>
            </w:pPr>
            <w:r>
              <w:rPr>
                <w:sz w:val="4"/>
                <w:szCs w:val="4"/>
              </w:rPr>
            </w:r>
          </w:p>
        </w:tc>
      </w:tr>
      <w:tr>
        <w:trPr/>
        <w:tc>
          <w:tcPr>
            <w:tcW w:w="5307" w:type="dxa"/>
            <w:tcBorders/>
          </w:tcPr>
          <w:p>
            <w:pPr>
              <w:pStyle w:val="TableContents"/>
              <w:bidi w:val="0"/>
              <w:spacing w:before="0" w:after="283"/>
              <w:jc w:val="left"/>
              <w:rPr/>
            </w:pPr>
            <w:r>
              <w:rPr/>
              <w:drawing>
                <wp:inline distT="0" distB="0" distL="0" distR="0">
                  <wp:extent cx="22383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609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drawing>
                <wp:inline distT="0" distB="0" distL="0" distR="0">
                  <wp:extent cx="1676400" cy="552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6400" cy="552450"/>
                          </a:xfrm>
                          <a:prstGeom prst="rect">
                            <a:avLst/>
                          </a:prstGeom>
                        </pic:spPr>
                      </pic:pic>
                    </a:graphicData>
                  </a:graphic>
                </wp:inline>
              </w:drawing>
            </w:r>
            <w:r>
              <w:rPr/>
              <w:t xml:space="preserve"> </w:t>
            </w:r>
          </w:p>
        </w:tc>
      </w:tr>
      <w:tr>
        <w:trPr>
          <w:trHeight w:val="120" w:hRule="atLeast"/>
        </w:trPr>
        <w:tc>
          <w:tcPr>
            <w:tcW w:w="5307"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r>
      <w:tr>
        <w:trPr/>
        <w:tc>
          <w:tcPr>
            <w:tcW w:w="5307" w:type="dxa"/>
            <w:tcBorders/>
          </w:tcPr>
          <w:p>
            <w:pPr>
              <w:pStyle w:val="TableContents"/>
              <w:bidi w:val="0"/>
              <w:spacing w:before="0" w:after="283"/>
              <w:jc w:val="left"/>
              <w:rPr>
                <w:b/>
              </w:rPr>
            </w:pPr>
            <w:r>
              <w:rPr>
                <w:b/>
              </w:rPr>
              <w:t>FOR IMMEDIATE RELEASE</w:t>
            </w:r>
          </w:p>
        </w:tc>
        <w:tc>
          <w:tcPr>
            <w:tcW w:w="120"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CBIZ Reports Second-Quarter and First-Half 2026 Financial Results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Second-Quarter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of $682M, down 0.2%; Financial Services revenue down 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$19M, down 55.6%; GAAP EPS of $0.31, down 53.0%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$103M, down 14.3%; Adjusted diluted EPS of $0.91, down 8.1%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First-Half Financial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revenue of $1,531M, up 0.6%; Financial Services revenue up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of $171M, up 4.1%; GAAP EPS of $2.83, up 9.7%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of $347M, down 3.8%; Adjusted diluted EPS of $3.44, up 3.6%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cash flow up $97M; Free cash flow up $99M </w:t>
            </w:r>
          </w:p>
        </w:tc>
      </w:tr>
    </w:tbl>
    <w:p>
      <w:pPr>
        <w:pStyle w:val="TextBody"/>
        <w:bidi w:val="0"/>
        <w:spacing w:before="240" w:after="0"/>
        <w:jc w:val="left"/>
        <w:rPr>
          <w:rFonts w:ascii="Times New Roman" w:hAnsi="Times New Roman"/>
          <w:sz w:val="20"/>
        </w:rPr>
      </w:pPr>
      <w:r>
        <w:rPr>
          <w:rFonts w:ascii="Times New Roman" w:hAnsi="Times New Roman"/>
          <w:sz w:val="20"/>
        </w:rPr>
        <w:t xml:space="preserve">CLEVELAND (July 29, 2026) – CBIZ, Inc., (NYSE: CBZ) (“CBIZ” or the “Company”), a leading national professional services advisor, today announced second quarter and first half results for the period ended June 30,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Management Commentary: </w:t>
      </w:r>
    </w:p>
    <w:p>
      <w:pPr>
        <w:pStyle w:val="TextBody"/>
        <w:bidi w:val="0"/>
        <w:spacing w:before="120" w:after="0"/>
        <w:jc w:val="left"/>
        <w:rPr>
          <w:rFonts w:ascii="Times New Roman" w:hAnsi="Times New Roman"/>
          <w:sz w:val="20"/>
        </w:rPr>
      </w:pPr>
      <w:r>
        <w:rPr>
          <w:rFonts w:ascii="Times New Roman" w:hAnsi="Times New Roman"/>
          <w:sz w:val="20"/>
        </w:rPr>
        <w:t xml:space="preserve">Jerry Grisko, CBIZ President and Chief Executive Officer, said, “Through the first six months of the year, we delivered year-over-year growth in revenue, earnings and free cash flow while continuing to execute against our strategic priorities. Over the past year, we have made significant investments in integrating Marcum, expanding our AI capabilities and enhancing our go-to-market approach. These efforts have created a stronger and more scalable platform, positioning CBIZ to capitalize on the opportunities we see across our markets. I want to thank our CBIZ team members for their continued dedication and commitment to serving our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to attract and retain top talent across the organization, including key Managing Director hires in Financial Services, a 60% year-over-year increase in Benefits &amp; Insurance producer hiring, and senior leadership additions in AI, advisory, data and analytics, and business transformation.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completed an enterprise-wide AI rollout, achieving 100% employee certification, expanded our business transformation team to more than 60 professionals, and enabled more than 1,500 team members to create custom Microsoft Copilot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our industry-led growth strategy through the launch of AI-enabled tools and market intelligence capabilities that help our professionals identify cross-selling opportunities and deliver deeper, forward-looking insights to middle-market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industry-led One CBIZ approach generated strong cross-serving and new business momentum during the quarter, driving incremental revenue and securing new client wins across banking, construction, real estate, and food &amp; beverage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Completed acquisition of BINDZ, adding 250+ India-based professionals and a scalable global delivery platform, which unlocks durable margin expansion levers and pairs global talent with AI-enabled workflows.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Advanced our national brand strategy, driving increased engagement with key decision-makers and generating meaningful growth in marketing-influenced activity and qualified business opportunities.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Transaction with Grant Thornton and New Mountain </w:t>
      </w:r>
    </w:p>
    <w:p>
      <w:pPr>
        <w:pStyle w:val="TextBody"/>
        <w:bidi w:val="0"/>
        <w:spacing w:before="120" w:after="0"/>
        <w:jc w:val="left"/>
        <w:rPr>
          <w:rFonts w:ascii="Times New Roman" w:hAnsi="Times New Roman"/>
          <w:sz w:val="20"/>
        </w:rPr>
      </w:pPr>
      <w:r>
        <w:rPr>
          <w:rFonts w:ascii="Times New Roman" w:hAnsi="Times New Roman"/>
          <w:sz w:val="20"/>
        </w:rPr>
        <w:t xml:space="preserve">In a separate press release issued today, CBIZ and Grant Thornton in the U.S. (“Grant Thornton”), backed by New Mountain Capital, announced that they have entered into a definitive merger agreement pursuant to which Grant Thornton will acquire CBIZ in an all-cash transaction with an enterprise value of $5.0 billion, or $55.00 per share (the “transaction”). The press release announcing the transaction is available on the Investor Relations section of CBIZ’s website.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expected to close in the fourth quarter of 2026, subject to approval by CBIZ shareholders, receipt of required regulatory approvals, and satisfaction of other customary closing conditions. Upon completion of the transaction, CBIZ’s common stock will no longer be listed on the New York Stock Exchange, and CBIZ will become a private company.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Cancellation of Earnings Conference Call and 2026 Financial Outlook </w:t>
      </w:r>
    </w:p>
    <w:p>
      <w:pPr>
        <w:pStyle w:val="TextBody"/>
        <w:bidi w:val="0"/>
        <w:spacing w:before="120" w:after="0"/>
        <w:jc w:val="left"/>
        <w:rPr>
          <w:rFonts w:ascii="Times New Roman" w:hAnsi="Times New Roman"/>
          <w:sz w:val="20"/>
        </w:rPr>
      </w:pPr>
      <w:r>
        <w:rPr>
          <w:rFonts w:ascii="Times New Roman" w:hAnsi="Times New Roman"/>
          <w:sz w:val="20"/>
        </w:rPr>
        <w:t xml:space="preserve">Due to the transaction, CBIZ will not hold an earnings conference call or webcast. CBIZ is also withdrawing fiscal 2026 guidance and has suspended further updates.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CBIZ </w:t>
      </w:r>
    </w:p>
    <w:p>
      <w:pPr>
        <w:pStyle w:val="TextBody"/>
        <w:bidi w:val="0"/>
        <w:spacing w:before="120" w:after="0"/>
        <w:jc w:val="left"/>
        <w:rPr>
          <w:rFonts w:ascii="Times New Roman" w:hAnsi="Times New Roman"/>
          <w:sz w:val="20"/>
        </w:rPr>
      </w:pPr>
      <w:r>
        <w:rPr>
          <w:rFonts w:ascii="Times New Roman" w:hAnsi="Times New Roman"/>
          <w:sz w:val="20"/>
        </w:rPr>
        <w:t xml:space="preserve">CBIZ, Inc. (NYSE: CBZ) is a leading professional services advisor to middle 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23 major markets coast to coast. For more information, visit </w:t>
      </w:r>
      <w:r>
        <w:rPr>
          <w:rFonts w:ascii="Times New Roman" w:hAnsi="Times New Roman"/>
          <w:sz w:val="20"/>
          <w:u w:val="single"/>
        </w:rPr>
        <w:t>www.cbiz.com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Section 27A of the Securities Act of 1933, as amended (the “Securities Act”), and Section 21E of the Securities Exchange Act of 1934, as amended (the “Exchange Act”). All statements other than statements of historical fact included in this release, including, without limitation, our financial position, business strategy, plans and objectives for future performance and statements about the proposed transaction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also provide oral or written forward-looking statements in other materials we release to the public. Any or all of our forward-looking statements in this release and in any other public statements that we make are subject to certain risks and uncertainties that could cause actual results to differ materially from those projected. Such risks and uncertainties include, but are not limited to: that one or more closing conditions to the proposed transaction, including certain regulatory approvals, may not be satisfied or waived, on a timely basis or otherwise, or that the required approval by the shareholders of CBIZ may not be obtained; the risk that the proposed transaction may not be completed on the terms or in the time frame expected by CBIZ and Grant Thornton, or at all; unexpected costs, charges or expenses resulting from the proposed transaction; uncertainty of the expected financial performance and results of operations of the combined company following completion of the proposed transaction; failure to realize the anticipated benefits of the proposed transaction, including as a result of delay in completing the proposed transaction or integrating the businesses of CBIZ and Grant Thornton, on the expected timeframe or at all; the ability of the combined company to implement its business strategy; difficulties and delays in the combined company achieving revenue and cost synergies; inability of the combined company to retain and hire key personnel; the occurrence of any event that could give rise to termination of the proposed transaction; the risk that shareholder litigation in connection with the proposed transaction or other litigation, settlements or investigations may affect the timing or completion of the proposed transaction or result in significant costs of defense, indemnification and liability; evolving legal, regulatory and tax regimes; changes in general economic, competitive, technological and/or industry-specific conditions affecting the businesses and industries in which CBIZ and Grant Thornton operate; actions by third parties, including government agencies and ratings agencies, relating to the proposed transaction; risks that any debt financing anticipated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the proposed transaction is not obtained or that such financing cannot be obtained on the anticipated timing or terms or unexpected costs or expenses in connection therewith;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the risk that the market price of CBIZ’s common stock may decline if the proposed transaction is not completed; our ability to maintain effective internal control over financial reporting and disclosure controls and procedures, including ability to remediate our material weaknesses in our internal control over financial reporting; payments on accounts receivable may be slower than expected, or amounts due on receivables or notes may not be fully collectible; our business could be adversely affected if the non-attest business assets we acquired, or the attest assets CBIZ CPAs acquired, from Marcum LLP (“Marcum”)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of substantially all of Marcum’s attest business assets (the “Marcum Transaction”);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our amended and restated credit agreement providing for $2.0 billion in senior secured credit facilities, consisting of a $1.4 billion term loan and $600 million revolving credit facility, could adversely affect our ability to run our business and/or reduce stockholder returns; our failure to satisfy covenants in our debt instruments could cause a default under those instruments; our increased leverage following the Marcum Transaction may adversely impact our business; we may be more sensitive to revenue fluctuations than other companies, which could result in fluctuations in the market price of our common stock; the significant number of shares issuable as the stock consideration in the Marcum Transaction may adversely impact our stock price; the future issuance of additional shares could adversely affect the price of our common stock; and there is volatility in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 Consequently, no forward-looking statement can be guaranteed. Our actual future results may vary materially. All forward looking statements made in this release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Also note that we provide a cautionary discussion of the risks, uncertainties and possibly inaccurate assumptions relevant to our businesses in “Item 1. Business” and “Item 1A. Risk Factors” in our Annual Report on Form 10-K for the year ended December 31, 2025. These are factors that we think could cause our actual results to differ materially from expected and historical results. Other factors besides those described here could also adversely affect our operating or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To supplement our consolidated financial statements, which are prepared and presented in accordance with United States Generally Accepted Accounting Principles (“GAAP”), we also present Adjusted Net Income (Loss), Adjusted Diluted Earnings Per Share (“EPS”), Adjusted EBITDA, Adjusted EBITDA Margin and Free Cash Flow, which are non-GAAP measures. These non-GAAP measures are adjusted to exclude the impact of the Marcum Transaction, integration costs, amortization of acquired intangible assets, and other significant non-operating related gains and losses management does not consider ongoing in nature. The presentation of non-GAAP financial information is designed to supplement the Company’s financial information presented in accordance with GAAP, is not intended to be considered in isolation or as a substitute for, or superior to, the financial information prepared and presented in accordance with GAAP. We use these non-GAAP financial measures for financial and operational decision-making, and to evaluate results relative to employee compensation targets. We believe that these non-GAAP financial measures provide meaningful supplemental information to stockholders, debt holders, and other interested parties in assessing our performance. These non-GAAP financial measures also facilitate management’s internal comparisons to our historical performance by excluding significant acquisition expenses, certain one-time non-recurring items, and gains and losses that management does not consider ongoing in nature. We believe these non-GAAP financial measures are useful to investors both because (1) they allow for greater transparency with respect to key measures used by management in its financial and operational decision-making and (2) they are used by our stockholders and analyst community to determine the health of our business. These non-GAAP measures may not be comparable to similar non-GAAP measures presented by other companies. The presentation of such non-GAAP measures, which may include exclusions of non-recurring items, should not be construed as an inference that the Company’s future results will be unaffected by other non-recurring items. Management provides specific information regarding the GAAP amounts excluded from or included in these non-GAAP financial measures. Additionally, management provides reconciliations of these non-GAAP financial measures to their most comparable financial measures presented in accordance with GAAP. Please see the schedules captioned “GAAP Reconciliation” at the end of this release for additional information and the applicable reconciliations.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Chris Sikora, VP, Investor Relations &amp; Corporate Finance, chris.sikora@cbiz.com </w:t>
      </w:r>
    </w:p>
    <w:p>
      <w:pPr>
        <w:pStyle w:val="TextBody"/>
        <w:bidi w:val="0"/>
        <w:spacing w:before="0" w:after="0"/>
        <w:jc w:val="left"/>
        <w:rPr>
          <w:rFonts w:ascii="Times New Roman" w:hAnsi="Times New Roman"/>
          <w:sz w:val="20"/>
        </w:rPr>
      </w:pPr>
      <w:r>
        <w:rPr>
          <w:rFonts w:ascii="Times New Roman" w:hAnsi="Times New Roman"/>
          <w:sz w:val="20"/>
        </w:rPr>
        <w:t xml:space="preserve">Media: Amy McGahan, Director of Corporate &amp; Strategic Communications, amy.mcgahan@cbiz.com </w:t>
      </w:r>
    </w:p>
    <w:p>
      <w:pPr>
        <w:pStyle w:val="TextBody"/>
        <w:bidi w:val="0"/>
        <w:spacing w:before="0" w:after="0"/>
        <w:jc w:val="left"/>
        <w:rPr>
          <w:rFonts w:ascii="Times New Roman" w:hAnsi="Times New Roman"/>
          <w:sz w:val="20"/>
        </w:rPr>
      </w:pPr>
      <w:r>
        <w:rPr>
          <w:rFonts w:ascii="Times New Roman" w:hAnsi="Times New Roman"/>
          <w:sz w:val="20"/>
        </w:rPr>
        <w:t xml:space="preserve">CBIZ, Inc., Cleveland, Ohio, (216) 447-9000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HIGHLIGHTS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THREE MONTHS ENDED JUNE 30, 2026 AND 2025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percentages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7"/>
        <w:gridCol w:w="215"/>
        <w:gridCol w:w="140"/>
        <w:gridCol w:w="832"/>
        <w:gridCol w:w="155"/>
        <w:gridCol w:w="166"/>
        <w:gridCol w:w="60"/>
        <w:gridCol w:w="576"/>
        <w:gridCol w:w="321"/>
        <w:gridCol w:w="166"/>
        <w:gridCol w:w="140"/>
        <w:gridCol w:w="832"/>
        <w:gridCol w:w="155"/>
        <w:gridCol w:w="166"/>
        <w:gridCol w:w="60"/>
        <w:gridCol w:w="575"/>
        <w:gridCol w:w="329"/>
      </w:tblGrid>
      <w:tr>
        <w:trPr/>
        <w:tc>
          <w:tcPr>
            <w:tcW w:w="5317"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317"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434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329" w:type="dxa"/>
            <w:tcBorders/>
            <w:vAlign w:val="bottom"/>
          </w:tcPr>
          <w:p>
            <w:pPr>
              <w:pStyle w:val="TableContents"/>
              <w:bidi w:val="0"/>
              <w:spacing w:before="0" w:after="283"/>
              <w:jc w:val="left"/>
              <w:rPr/>
            </w:pPr>
            <w:r>
              <w:rPr/>
              <w:t> </w:t>
            </w:r>
          </w:p>
        </w:tc>
      </w:tr>
      <w:tr>
        <w:trPr/>
        <w:tc>
          <w:tcPr>
            <w:tcW w:w="5317"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9" w:type="dxa"/>
            <w:tcBorders/>
            <w:vAlign w:val="bottom"/>
          </w:tcPr>
          <w:p>
            <w:pPr>
              <w:pStyle w:val="TableContents"/>
              <w:bidi w:val="0"/>
              <w:spacing w:before="0" w:after="283"/>
              <w:jc w:val="left"/>
              <w:rPr/>
            </w:pPr>
            <w:r>
              <w:rPr/>
              <w:t> </w:t>
            </w:r>
          </w:p>
        </w:tc>
      </w:tr>
      <w:tr>
        <w:trPr/>
        <w:tc>
          <w:tcPr>
            <w:tcW w:w="53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32" w:type="dxa"/>
            <w:tcBorders/>
            <w:shd w:fill="CCEEFF" w:val="clear"/>
            <w:vAlign w:val="bottom"/>
          </w:tcPr>
          <w:p>
            <w:pPr>
              <w:pStyle w:val="TableContents"/>
              <w:bidi w:val="0"/>
              <w:spacing w:before="0" w:after="283"/>
              <w:jc w:val="right"/>
              <w:rPr>
                <w:b/>
              </w:rPr>
            </w:pPr>
            <w:r>
              <w:rPr>
                <w:b/>
              </w:rPr>
              <w:t>682,206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100.0</w:t>
            </w:r>
          </w:p>
        </w:tc>
        <w:tc>
          <w:tcPr>
            <w:tcW w:w="321"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32" w:type="dxa"/>
            <w:tcBorders/>
            <w:shd w:fill="CCEEFF" w:val="clear"/>
            <w:vAlign w:val="bottom"/>
          </w:tcPr>
          <w:p>
            <w:pPr>
              <w:pStyle w:val="TableContents"/>
              <w:bidi w:val="0"/>
              <w:spacing w:before="0" w:after="283"/>
              <w:jc w:val="right"/>
              <w:rPr>
                <w:b/>
              </w:rPr>
            </w:pPr>
            <w:r>
              <w:rPr>
                <w:b/>
              </w:rPr>
              <w:t>683,496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100.0</w:t>
            </w:r>
          </w:p>
        </w:tc>
        <w:tc>
          <w:tcPr>
            <w:tcW w:w="329" w:type="dxa"/>
            <w:tcBorders/>
            <w:shd w:fill="CCEEFF" w:val="clear"/>
            <w:vAlign w:val="bottom"/>
          </w:tcPr>
          <w:p>
            <w:pPr>
              <w:pStyle w:val="TableContents"/>
              <w:bidi w:val="0"/>
              <w:spacing w:before="0" w:after="283"/>
              <w:jc w:val="left"/>
              <w:rPr>
                <w:b/>
              </w:rPr>
            </w:pPr>
            <w:r>
              <w:rPr>
                <w:b/>
              </w:rPr>
              <w:t>% </w:t>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 (1)</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609,768</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89.4</w:t>
            </w:r>
          </w:p>
        </w:tc>
        <w:tc>
          <w:tcPr>
            <w:tcW w:w="32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595,587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87.1</w:t>
            </w:r>
          </w:p>
        </w:tc>
        <w:tc>
          <w:tcPr>
            <w:tcW w:w="329" w:type="dxa"/>
            <w:tcBorders/>
            <w:vAlign w:val="bottom"/>
          </w:tcPr>
          <w:p>
            <w:pPr>
              <w:pStyle w:val="TableContents"/>
              <w:bidi w:val="0"/>
              <w:spacing w:before="0" w:after="283"/>
              <w:jc w:val="left"/>
              <w:rPr/>
            </w:pPr>
            <w:r>
              <w:rPr/>
              <w:t> </w:t>
            </w:r>
          </w:p>
        </w:tc>
      </w:tr>
      <w:tr>
        <w:trPr/>
        <w:tc>
          <w:tcPr>
            <w:tcW w:w="5317"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3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b/>
              </w:rPr>
            </w:pPr>
            <w:r>
              <w:rPr>
                <w:b/>
              </w:rPr>
              <w:t>72,438</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10.6</w:t>
            </w:r>
          </w:p>
        </w:tc>
        <w:tc>
          <w:tcPr>
            <w:tcW w:w="32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b/>
              </w:rPr>
            </w:pPr>
            <w:r>
              <w:rPr>
                <w:b/>
              </w:rPr>
              <w:t>87,909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12.9</w:t>
            </w:r>
          </w:p>
        </w:tc>
        <w:tc>
          <w:tcPr>
            <w:tcW w:w="329" w:type="dxa"/>
            <w:tcBorders/>
            <w:shd w:fill="CCEEFF" w:val="clear"/>
            <w:vAlign w:val="bottom"/>
          </w:tcPr>
          <w:p>
            <w:pPr>
              <w:pStyle w:val="TableContents"/>
              <w:bidi w:val="0"/>
              <w:spacing w:before="0" w:after="283"/>
              <w:jc w:val="left"/>
              <w:rPr/>
            </w:pPr>
            <w:r>
              <w:rPr/>
              <w:t> </w:t>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and administrative expenses (1)</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38,366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5.6</w:t>
            </w:r>
          </w:p>
        </w:tc>
        <w:tc>
          <w:tcPr>
            <w:tcW w:w="32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27,637</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4.0</w:t>
            </w:r>
          </w:p>
        </w:tc>
        <w:tc>
          <w:tcPr>
            <w:tcW w:w="329" w:type="dxa"/>
            <w:tcBorders/>
            <w:vAlign w:val="bottom"/>
          </w:tcPr>
          <w:p>
            <w:pPr>
              <w:pStyle w:val="TableContents"/>
              <w:bidi w:val="0"/>
              <w:spacing w:before="0" w:after="283"/>
              <w:jc w:val="left"/>
              <w:rPr/>
            </w:pPr>
            <w:r>
              <w:rPr/>
              <w:t> </w:t>
            </w:r>
          </w:p>
        </w:tc>
      </w:tr>
      <w:tr>
        <w:trPr/>
        <w:tc>
          <w:tcPr>
            <w:tcW w:w="5317"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3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b/>
              </w:rPr>
            </w:pPr>
            <w:r>
              <w:rPr>
                <w:b/>
              </w:rPr>
              <w:t>34,072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5.0</w:t>
            </w:r>
          </w:p>
        </w:tc>
        <w:tc>
          <w:tcPr>
            <w:tcW w:w="32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b/>
              </w:rPr>
            </w:pPr>
            <w:r>
              <w:rPr>
                <w:b/>
              </w:rPr>
              <w:t>60,272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8.9</w:t>
            </w:r>
          </w:p>
        </w:tc>
        <w:tc>
          <w:tcPr>
            <w:tcW w:w="329" w:type="dxa"/>
            <w:tcBorders/>
            <w:shd w:fill="CCEEFF" w:val="clear"/>
            <w:vAlign w:val="bottom"/>
          </w:tcPr>
          <w:p>
            <w:pPr>
              <w:pStyle w:val="TableContents"/>
              <w:bidi w:val="0"/>
              <w:spacing w:before="0" w:after="283"/>
              <w:jc w:val="left"/>
              <w:rPr/>
            </w:pPr>
            <w:r>
              <w:rPr/>
              <w:t> </w:t>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3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(24,335</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(3.6</w:t>
            </w:r>
          </w:p>
        </w:tc>
        <w:tc>
          <w:tcPr>
            <w:tcW w:w="32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(27,867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(4.1</w:t>
            </w:r>
          </w:p>
        </w:tc>
        <w:tc>
          <w:tcPr>
            <w:tcW w:w="329" w:type="dxa"/>
            <w:tcBorders/>
            <w:shd w:fill="CCEEFF" w:val="clear"/>
            <w:vAlign w:val="bottom"/>
          </w:tcPr>
          <w:p>
            <w:pPr>
              <w:pStyle w:val="TableContents"/>
              <w:bidi w:val="0"/>
              <w:spacing w:before="0" w:after="283"/>
              <w:jc w:val="left"/>
              <w:rPr/>
            </w:pPr>
            <w:r>
              <w:rPr/>
              <w:t>) </w:t>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 (1) (2)</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13,949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2.0</w:t>
            </w:r>
          </w:p>
        </w:tc>
        <w:tc>
          <w:tcPr>
            <w:tcW w:w="32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25,374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3.7</w:t>
            </w:r>
          </w:p>
        </w:tc>
        <w:tc>
          <w:tcPr>
            <w:tcW w:w="329" w:type="dxa"/>
            <w:tcBorders/>
            <w:vAlign w:val="bottom"/>
          </w:tcPr>
          <w:p>
            <w:pPr>
              <w:pStyle w:val="TableContents"/>
              <w:bidi w:val="0"/>
              <w:spacing w:before="0" w:after="283"/>
              <w:jc w:val="left"/>
              <w:rPr/>
            </w:pPr>
            <w:r>
              <w:rPr/>
              <w:t> </w:t>
            </w:r>
          </w:p>
        </w:tc>
      </w:tr>
      <w:tr>
        <w:trPr/>
        <w:tc>
          <w:tcPr>
            <w:tcW w:w="5317"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3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 net</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(10,386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(1.5</w:t>
            </w:r>
          </w:p>
        </w:tc>
        <w:tc>
          <w:tcPr>
            <w:tcW w:w="32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(2,493</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(0.4</w:t>
            </w:r>
          </w:p>
        </w:tc>
        <w:tc>
          <w:tcPr>
            <w:tcW w:w="329" w:type="dxa"/>
            <w:tcBorders/>
            <w:shd w:fill="CCEEFF" w:val="clear"/>
            <w:vAlign w:val="bottom"/>
          </w:tcPr>
          <w:p>
            <w:pPr>
              <w:pStyle w:val="TableContents"/>
              <w:bidi w:val="0"/>
              <w:spacing w:before="0" w:after="283"/>
              <w:jc w:val="left"/>
              <w:rPr/>
            </w:pPr>
            <w:r>
              <w:rPr/>
              <w:t>) </w:t>
            </w:r>
          </w:p>
        </w:tc>
      </w:tr>
      <w:tr>
        <w:trPr/>
        <w:tc>
          <w:tcPr>
            <w:tcW w:w="5317"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3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23,686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b/>
              </w:rPr>
            </w:pPr>
            <w:r>
              <w:rPr>
                <w:b/>
              </w:rPr>
              <w:t>3.5</w:t>
            </w:r>
          </w:p>
        </w:tc>
        <w:tc>
          <w:tcPr>
            <w:tcW w:w="32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b/>
              </w:rPr>
            </w:pPr>
            <w:r>
              <w:rPr>
                <w:b/>
              </w:rPr>
              <w:t>57,779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8.5</w:t>
            </w:r>
          </w:p>
        </w:tc>
        <w:tc>
          <w:tcPr>
            <w:tcW w:w="329" w:type="dxa"/>
            <w:tcBorders/>
            <w:vAlign w:val="bottom"/>
          </w:tcPr>
          <w:p>
            <w:pPr>
              <w:pStyle w:val="TableContents"/>
              <w:bidi w:val="0"/>
              <w:spacing w:before="0" w:after="283"/>
              <w:jc w:val="left"/>
              <w:rPr/>
            </w:pPr>
            <w:r>
              <w:rPr/>
              <w:t> </w:t>
            </w:r>
          </w:p>
        </w:tc>
      </w:tr>
      <w:tr>
        <w:trPr/>
        <w:tc>
          <w:tcPr>
            <w:tcW w:w="53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5,082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15,837</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5317"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3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32" w:type="dxa"/>
            <w:tcBorders/>
            <w:vAlign w:val="bottom"/>
          </w:tcPr>
          <w:p>
            <w:pPr>
              <w:pStyle w:val="TableContents"/>
              <w:bidi w:val="0"/>
              <w:spacing w:before="0" w:after="283"/>
              <w:jc w:val="right"/>
              <w:rPr>
                <w:b/>
              </w:rPr>
            </w:pPr>
            <w:r>
              <w:rPr>
                <w:b/>
              </w:rPr>
              <w:t>18,604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b/>
              </w:rPr>
            </w:pPr>
            <w:r>
              <w:rPr>
                <w:b/>
              </w:rPr>
              <w:t>2.7</w:t>
            </w:r>
          </w:p>
        </w:tc>
        <w:tc>
          <w:tcPr>
            <w:tcW w:w="321"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32" w:type="dxa"/>
            <w:tcBorders/>
            <w:vAlign w:val="bottom"/>
          </w:tcPr>
          <w:p>
            <w:pPr>
              <w:pStyle w:val="TableContents"/>
              <w:bidi w:val="0"/>
              <w:spacing w:before="0" w:after="283"/>
              <w:jc w:val="right"/>
              <w:rPr>
                <w:b/>
              </w:rPr>
            </w:pPr>
            <w:r>
              <w:rPr>
                <w:b/>
              </w:rPr>
              <w:t>41,942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6.1</w:t>
            </w:r>
          </w:p>
        </w:tc>
        <w:tc>
          <w:tcPr>
            <w:tcW w:w="329" w:type="dxa"/>
            <w:tcBorders/>
            <w:vAlign w:val="bottom"/>
          </w:tcPr>
          <w:p>
            <w:pPr>
              <w:pStyle w:val="TableContents"/>
              <w:bidi w:val="0"/>
              <w:spacing w:before="0" w:after="283"/>
              <w:jc w:val="left"/>
              <w:rPr>
                <w:b/>
              </w:rPr>
            </w:pPr>
            <w:r>
              <w:rPr>
                <w:b/>
              </w:rPr>
              <w:t>% </w:t>
            </w:r>
          </w:p>
        </w:tc>
      </w:tr>
      <w:tr>
        <w:trPr/>
        <w:tc>
          <w:tcPr>
            <w:tcW w:w="5317"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3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32" w:type="dxa"/>
            <w:tcBorders/>
            <w:shd w:fill="CCEEFF" w:val="clear"/>
            <w:vAlign w:val="bottom"/>
          </w:tcPr>
          <w:p>
            <w:pPr>
              <w:pStyle w:val="TableContents"/>
              <w:bidi w:val="0"/>
              <w:spacing w:before="0" w:after="283"/>
              <w:jc w:val="right"/>
              <w:rPr>
                <w:b/>
              </w:rPr>
            </w:pPr>
            <w:r>
              <w:rPr>
                <w:b/>
              </w:rPr>
              <w:t>0.31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32" w:type="dxa"/>
            <w:tcBorders/>
            <w:shd w:fill="CCEEFF" w:val="clear"/>
            <w:vAlign w:val="bottom"/>
          </w:tcPr>
          <w:p>
            <w:pPr>
              <w:pStyle w:val="TableContents"/>
              <w:bidi w:val="0"/>
              <w:spacing w:before="0" w:after="283"/>
              <w:jc w:val="right"/>
              <w:rPr>
                <w:b/>
              </w:rPr>
            </w:pPr>
            <w:r>
              <w:rPr>
                <w:b/>
              </w:rPr>
              <w:t>0.66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shares outstanding</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59,703</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63,784</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3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(3)</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103,149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15.1</w:t>
            </w:r>
          </w:p>
        </w:tc>
        <w:tc>
          <w:tcPr>
            <w:tcW w:w="32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120,396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17.6</w:t>
            </w:r>
          </w:p>
        </w:tc>
        <w:tc>
          <w:tcPr>
            <w:tcW w:w="329" w:type="dxa"/>
            <w:tcBorders/>
            <w:vAlign w:val="bottom"/>
          </w:tcPr>
          <w:p>
            <w:pPr>
              <w:pStyle w:val="TableContents"/>
              <w:bidi w:val="0"/>
              <w:spacing w:before="0" w:after="283"/>
              <w:jc w:val="left"/>
              <w:rPr/>
            </w:pPr>
            <w:r>
              <w:rPr/>
              <w:t>% </w:t>
            </w:r>
          </w:p>
        </w:tc>
      </w:tr>
      <w:tr>
        <w:trPr/>
        <w:tc>
          <w:tcPr>
            <w:tcW w:w="53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Diluted EPS (3)</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0.91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0.99</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sponsor a Non-qualified Deferred Compensation Plan (the “deferred compensation plan”), under which a CBIZ employee’s compensation deferral is held in a rabbi trust and invested accordingly as directed by the employee. 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and expenses related to the deferred compensation plan for the three months ended June 30, 2026, and 2025, are as follows (in thousands, except percentages):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48"/>
        <w:gridCol w:w="234"/>
        <w:gridCol w:w="140"/>
        <w:gridCol w:w="680"/>
        <w:gridCol w:w="60"/>
        <w:gridCol w:w="234"/>
        <w:gridCol w:w="230"/>
        <w:gridCol w:w="1254"/>
        <w:gridCol w:w="275"/>
        <w:gridCol w:w="156"/>
        <w:gridCol w:w="140"/>
        <w:gridCol w:w="679"/>
        <w:gridCol w:w="60"/>
        <w:gridCol w:w="234"/>
        <w:gridCol w:w="230"/>
        <w:gridCol w:w="1254"/>
        <w:gridCol w:w="280"/>
      </w:tblGrid>
      <w:tr>
        <w:trPr/>
        <w:tc>
          <w:tcPr>
            <w:tcW w:w="324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2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562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80" w:type="dxa"/>
            <w:tcBorders/>
            <w:vAlign w:val="bottom"/>
          </w:tcPr>
          <w:p>
            <w:pPr>
              <w:pStyle w:val="TableContents"/>
              <w:bidi w:val="0"/>
              <w:spacing w:before="0" w:after="283"/>
              <w:jc w:val="left"/>
              <w:rPr/>
            </w:pPr>
            <w:r>
              <w:rPr/>
              <w:t> </w:t>
            </w:r>
          </w:p>
        </w:tc>
      </w:tr>
      <w:tr>
        <w:trPr/>
        <w:tc>
          <w:tcPr>
            <w:tcW w:w="324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Income statement line items:</w:t>
            </w:r>
          </w:p>
        </w:tc>
        <w:tc>
          <w:tcPr>
            <w:tcW w:w="23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80" w:type="dxa"/>
            <w:tcBorders/>
            <w:vAlign w:val="bottom"/>
          </w:tcPr>
          <w:p>
            <w:pPr>
              <w:pStyle w:val="TableContents"/>
              <w:bidi w:val="0"/>
              <w:spacing w:before="0" w:after="283"/>
              <w:jc w:val="left"/>
              <w:rPr/>
            </w:pPr>
            <w:r>
              <w:rPr/>
              <w:t> </w:t>
            </w:r>
          </w:p>
        </w:tc>
      </w:tr>
      <w:tr>
        <w:trPr/>
        <w:tc>
          <w:tcPr>
            <w:tcW w:w="3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17,113</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11,717</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1.7</w:t>
            </w:r>
          </w:p>
        </w:tc>
        <w:tc>
          <w:tcPr>
            <w:tcW w:w="280" w:type="dxa"/>
            <w:tcBorders/>
            <w:shd w:fill="CCEEFF" w:val="clear"/>
            <w:vAlign w:val="bottom"/>
          </w:tcPr>
          <w:p>
            <w:pPr>
              <w:pStyle w:val="TableContents"/>
              <w:bidi w:val="0"/>
              <w:spacing w:before="0" w:after="283"/>
              <w:jc w:val="left"/>
              <w:rPr/>
            </w:pPr>
            <w:r>
              <w:rPr/>
              <w:t>% </w:t>
            </w:r>
          </w:p>
        </w:tc>
      </w:tr>
      <w:tr>
        <w:trPr/>
        <w:tc>
          <w:tcPr>
            <w:tcW w:w="3248"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&amp; administrative expenses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2,298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1,458</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0.2</w:t>
            </w:r>
          </w:p>
        </w:tc>
        <w:tc>
          <w:tcPr>
            <w:tcW w:w="280" w:type="dxa"/>
            <w:tcBorders/>
            <w:vAlign w:val="bottom"/>
          </w:tcPr>
          <w:p>
            <w:pPr>
              <w:pStyle w:val="TableContents"/>
              <w:bidi w:val="0"/>
              <w:spacing w:before="0" w:after="283"/>
              <w:jc w:val="left"/>
              <w:rPr/>
            </w:pPr>
            <w:r>
              <w:rPr/>
              <w:t>% </w:t>
            </w:r>
          </w:p>
        </w:tc>
      </w:tr>
      <w:tr>
        <w:trPr/>
        <w:tc>
          <w:tcPr>
            <w:tcW w:w="32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19,411</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13,175</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1.9</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Excluding the impact of the above-mentioned income and expenses related to the deferred compensation plan, the operating results for the three months ended June 30, 2026, and 2025, are as follows (in thousands, except percentages): </w:t>
      </w:r>
    </w:p>
    <w:p>
      <w:pPr>
        <w:pStyle w:val="TextBody"/>
        <w:bidi w:val="0"/>
        <w:spacing w:before="0" w:after="0"/>
        <w:jc w:val="left"/>
        <w:rPr/>
      </w:pPr>
      <w:r>
        <w:rPr/>
        <w:t> </w:t>
      </w:r>
    </w:p>
    <w:tbl>
      <w:tblPr>
        <w:tblW w:w="11470" w:type="dxa"/>
        <w:jc w:val="center"/>
        <w:tblInd w:w="0" w:type="dxa"/>
        <w:tblLayout w:type="fixed"/>
        <w:tblCellMar>
          <w:top w:w="0" w:type="dxa"/>
          <w:left w:w="0" w:type="dxa"/>
          <w:bottom w:w="0" w:type="dxa"/>
          <w:right w:w="0" w:type="dxa"/>
        </w:tblCellMar>
      </w:tblPr>
      <w:tblGrid>
        <w:gridCol w:w="830"/>
        <w:gridCol w:w="120"/>
        <w:gridCol w:w="167"/>
        <w:gridCol w:w="813"/>
        <w:gridCol w:w="60"/>
        <w:gridCol w:w="120"/>
        <w:gridCol w:w="233"/>
        <w:gridCol w:w="1257"/>
        <w:gridCol w:w="155"/>
        <w:gridCol w:w="60"/>
        <w:gridCol w:w="162"/>
        <w:gridCol w:w="788"/>
        <w:gridCol w:w="155"/>
        <w:gridCol w:w="60"/>
        <w:gridCol w:w="108"/>
        <w:gridCol w:w="797"/>
        <w:gridCol w:w="350"/>
        <w:gridCol w:w="60"/>
        <w:gridCol w:w="167"/>
        <w:gridCol w:w="813"/>
        <w:gridCol w:w="60"/>
        <w:gridCol w:w="120"/>
        <w:gridCol w:w="233"/>
        <w:gridCol w:w="1257"/>
        <w:gridCol w:w="155"/>
        <w:gridCol w:w="60"/>
        <w:gridCol w:w="162"/>
        <w:gridCol w:w="788"/>
        <w:gridCol w:w="60"/>
        <w:gridCol w:w="120"/>
        <w:gridCol w:w="108"/>
        <w:gridCol w:w="797"/>
        <w:gridCol w:w="275"/>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4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27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9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72,438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17,113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89,551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13.1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87,909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11,717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99,626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14.6</w:t>
            </w:r>
          </w:p>
        </w:tc>
        <w:tc>
          <w:tcPr>
            <w:tcW w:w="27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34,072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19,411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53,483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60,272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13,175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73,447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10.7</w:t>
            </w:r>
          </w:p>
        </w:tc>
        <w:tc>
          <w:tcPr>
            <w:tcW w:w="27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13,949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(19,411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(5,462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25,374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(13,175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12,199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 expense</w:t>
            </w:r>
          </w:p>
        </w:tc>
        <w:tc>
          <w:tcPr>
            <w:tcW w:w="12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23,686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23,686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3.5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57,779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57,779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8.5</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“Other income, net” for the three months ended June 30, 2026, and 2025, is income of $1.8 million and expense of $1.0 million, respectively, related to net changes in the fair value of contingent consideration related to CBIZ’s prior acquisitions.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the schedules reconciling Adjusted Diluted EPS and Adjusted EBITDA to the most directly comparable GAAP financial measures at the end of this release, and for additional information as to the usefulness of the non-GAAP financial measures to stockholders and investors, see “Non-GAAP Financial Measures”.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HIGHLIGHTS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SIX MONTHS ENDED JUNE 30, 2026 AND 2025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percentages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0"/>
        <w:gridCol w:w="155"/>
        <w:gridCol w:w="140"/>
        <w:gridCol w:w="1037"/>
        <w:gridCol w:w="155"/>
        <w:gridCol w:w="105"/>
        <w:gridCol w:w="60"/>
        <w:gridCol w:w="576"/>
        <w:gridCol w:w="321"/>
        <w:gridCol w:w="105"/>
        <w:gridCol w:w="140"/>
        <w:gridCol w:w="1037"/>
        <w:gridCol w:w="155"/>
        <w:gridCol w:w="105"/>
        <w:gridCol w:w="60"/>
        <w:gridCol w:w="575"/>
        <w:gridCol w:w="329"/>
      </w:tblGrid>
      <w:tr>
        <w:trPr/>
        <w:tc>
          <w:tcPr>
            <w:tcW w:w="515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1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57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9" w:type="dxa"/>
            <w:tcBorders/>
            <w:vAlign w:val="bottom"/>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37" w:type="dxa"/>
            <w:tcBorders/>
            <w:shd w:fill="CCEEFF" w:val="clear"/>
            <w:vAlign w:val="bottom"/>
          </w:tcPr>
          <w:p>
            <w:pPr>
              <w:pStyle w:val="TableContents"/>
              <w:bidi w:val="0"/>
              <w:spacing w:before="0" w:after="283"/>
              <w:jc w:val="right"/>
              <w:rPr>
                <w:b/>
              </w:rPr>
            </w:pPr>
            <w:r>
              <w:rPr>
                <w:b/>
              </w:rPr>
              <w:t>1,530,785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100.0</w:t>
            </w:r>
          </w:p>
        </w:tc>
        <w:tc>
          <w:tcPr>
            <w:tcW w:w="321"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37" w:type="dxa"/>
            <w:tcBorders/>
            <w:shd w:fill="CCEEFF" w:val="clear"/>
            <w:vAlign w:val="bottom"/>
          </w:tcPr>
          <w:p>
            <w:pPr>
              <w:pStyle w:val="TableContents"/>
              <w:bidi w:val="0"/>
              <w:spacing w:before="0" w:after="283"/>
              <w:jc w:val="right"/>
              <w:rPr>
                <w:b/>
              </w:rPr>
            </w:pPr>
            <w:r>
              <w:rPr>
                <w:b/>
              </w:rPr>
              <w:t>1,521,510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100.0</w:t>
            </w:r>
          </w:p>
        </w:tc>
        <w:tc>
          <w:tcPr>
            <w:tcW w:w="329" w:type="dxa"/>
            <w:tcBorders/>
            <w:shd w:fill="CCEEFF" w:val="clear"/>
            <w:vAlign w:val="bottom"/>
          </w:tcPr>
          <w:p>
            <w:pPr>
              <w:pStyle w:val="TableContents"/>
              <w:bidi w:val="0"/>
              <w:spacing w:before="0" w:after="283"/>
              <w:jc w:val="left"/>
              <w:rPr>
                <w:b/>
              </w:rPr>
            </w:pPr>
            <w:r>
              <w:rPr>
                <w:b/>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 (1)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1,232,330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80.5</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1,205,499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79.2</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298,455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19.5</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316,011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20.8</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and administrative expenses (1)</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79,877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5.2</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55,707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3.7</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218,578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14.3</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260,304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17.1</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(48,251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(3.2</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(53,023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(3.5</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Gain from acquisition related adjustment, net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57,955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3.8</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 (1) (2)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9,933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0.7</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23,408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19,637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right"/>
              <w:rPr/>
            </w:pPr>
            <w:r>
              <w:rPr/>
              <w:t>1.3</w:t>
            </w:r>
          </w:p>
        </w:tc>
        <w:tc>
          <w:tcPr>
            <w:tcW w:w="32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(29,615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(1.9</w:t>
            </w:r>
          </w:p>
        </w:tc>
        <w:tc>
          <w:tcPr>
            <w:tcW w:w="329"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 expense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238,215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15.6</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b/>
              </w:rPr>
            </w:pPr>
            <w:r>
              <w:rPr>
                <w:b/>
              </w:rPr>
              <w:t>230,689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15.2</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66,824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65,974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6"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37" w:type="dxa"/>
            <w:tcBorders/>
            <w:shd w:fill="CCEEFF" w:val="clear"/>
            <w:vAlign w:val="bottom"/>
          </w:tcPr>
          <w:p>
            <w:pPr>
              <w:pStyle w:val="TableContents"/>
              <w:bidi w:val="0"/>
              <w:spacing w:before="0" w:after="283"/>
              <w:jc w:val="right"/>
              <w:rPr>
                <w:b/>
              </w:rPr>
            </w:pPr>
            <w:r>
              <w:rPr>
                <w:b/>
              </w:rPr>
              <w:t>171,391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b/>
              </w:rPr>
            </w:pPr>
            <w:r>
              <w:rPr>
                <w:b/>
              </w:rPr>
              <w:t>11.2</w:t>
            </w:r>
          </w:p>
        </w:tc>
        <w:tc>
          <w:tcPr>
            <w:tcW w:w="321" w:type="dxa"/>
            <w:tcBorders/>
            <w:shd w:fill="CCEEFF" w:val="clear"/>
            <w:vAlign w:val="bottom"/>
          </w:tcPr>
          <w:p>
            <w:pPr>
              <w:pStyle w:val="TableContents"/>
              <w:bidi w:val="0"/>
              <w:spacing w:before="0" w:after="283"/>
              <w:jc w:val="left"/>
              <w:rPr>
                <w:b/>
              </w:rPr>
            </w:pPr>
            <w:r>
              <w:rPr>
                <w:b/>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37" w:type="dxa"/>
            <w:tcBorders/>
            <w:shd w:fill="CCEEFF" w:val="clear"/>
            <w:vAlign w:val="bottom"/>
          </w:tcPr>
          <w:p>
            <w:pPr>
              <w:pStyle w:val="TableContents"/>
              <w:bidi w:val="0"/>
              <w:spacing w:before="0" w:after="283"/>
              <w:jc w:val="right"/>
              <w:rPr>
                <w:b/>
              </w:rPr>
            </w:pPr>
            <w:r>
              <w:rPr>
                <w:b/>
              </w:rPr>
              <w:t>164,715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10.8</w:t>
            </w:r>
          </w:p>
        </w:tc>
        <w:tc>
          <w:tcPr>
            <w:tcW w:w="329" w:type="dxa"/>
            <w:tcBorders/>
            <w:shd w:fill="CCEEFF" w:val="clear"/>
            <w:vAlign w:val="bottom"/>
          </w:tcPr>
          <w:p>
            <w:pPr>
              <w:pStyle w:val="TableContents"/>
              <w:bidi w:val="0"/>
              <w:spacing w:before="0" w:after="283"/>
              <w:jc w:val="left"/>
              <w:rPr>
                <w:b/>
              </w:rPr>
            </w:pPr>
            <w:r>
              <w:rPr>
                <w:b/>
              </w:rPr>
              <w:t>% </w:t>
            </w:r>
          </w:p>
        </w:tc>
      </w:tr>
      <w:tr>
        <w:trPr/>
        <w:tc>
          <w:tcPr>
            <w:tcW w:w="5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6"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2.58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shares outstanding</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60,546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6"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63,960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5"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r>
        <w:trPr/>
        <w:tc>
          <w:tcPr>
            <w:tcW w:w="51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347,493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right"/>
              <w:rPr/>
            </w:pPr>
            <w:r>
              <w:rPr/>
              <w:t>22.7</w:t>
            </w:r>
          </w:p>
        </w:tc>
        <w:tc>
          <w:tcPr>
            <w:tcW w:w="32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361,121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23.7</w:t>
            </w:r>
          </w:p>
        </w:tc>
        <w:tc>
          <w:tcPr>
            <w:tcW w:w="329" w:type="dxa"/>
            <w:tcBorders/>
            <w:shd w:fill="CCEEFF" w:val="clear"/>
            <w:vAlign w:val="bottom"/>
          </w:tcPr>
          <w:p>
            <w:pPr>
              <w:pStyle w:val="TableContents"/>
              <w:bidi w:val="0"/>
              <w:spacing w:before="0" w:after="283"/>
              <w:jc w:val="left"/>
              <w:rPr/>
            </w:pPr>
            <w:r>
              <w:rPr/>
              <w:t>% </w:t>
            </w:r>
          </w:p>
        </w:tc>
      </w:tr>
      <w:tr>
        <w:trPr/>
        <w:tc>
          <w:tcPr>
            <w:tcW w:w="5150"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EPS (3)</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3.44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3.32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sponsor a Non-qualified Deferred Compensation Plan (the “deferred compensation plan”), under which a CBIZ employee’s compensation deferral is held in a rabbi trust and invested accordingly as directed by the employee. The activities related to the deferred compensation plan are recorded in “Corporate and Other” for segment reporting purposes. Gains and losses resulting from the adjustments to the fair value of the invested assets in the deferred compensation plan are recorded as an increase or decrease to the “Other income (expense), net”, directly offset by the same adjustments as an increase or decrease to compensation expense (recorded as “Operating expense” or “Corporate general and administrative expense”) in the accompanying Unaudited Condensed Consolidated Statements of Comprehensive Income. The deferred compensation plan has no impact on “Income before income tax expense” or diluted 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Income and expenses related to the deferred compensation plan for the six months ended June 30, 2026, and 2025, are as follows (in thousands, except percentages):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7"/>
        <w:gridCol w:w="252"/>
        <w:gridCol w:w="140"/>
        <w:gridCol w:w="680"/>
        <w:gridCol w:w="60"/>
        <w:gridCol w:w="252"/>
        <w:gridCol w:w="230"/>
        <w:gridCol w:w="1254"/>
        <w:gridCol w:w="275"/>
        <w:gridCol w:w="174"/>
        <w:gridCol w:w="140"/>
        <w:gridCol w:w="680"/>
        <w:gridCol w:w="60"/>
        <w:gridCol w:w="252"/>
        <w:gridCol w:w="230"/>
        <w:gridCol w:w="1253"/>
        <w:gridCol w:w="279"/>
      </w:tblGrid>
      <w:tr>
        <w:trPr/>
        <w:tc>
          <w:tcPr>
            <w:tcW w:w="3177"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17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68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279" w:type="dxa"/>
            <w:tcBorders/>
            <w:vAlign w:val="bottom"/>
          </w:tcPr>
          <w:p>
            <w:pPr>
              <w:pStyle w:val="TableContents"/>
              <w:bidi w:val="0"/>
              <w:spacing w:before="0" w:after="283"/>
              <w:jc w:val="left"/>
              <w:rPr/>
            </w:pPr>
            <w:r>
              <w:rPr/>
              <w:t> </w:t>
            </w:r>
          </w:p>
        </w:tc>
      </w:tr>
      <w:tr>
        <w:trPr/>
        <w:tc>
          <w:tcPr>
            <w:tcW w:w="31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Income statement line items:</w:t>
            </w:r>
          </w:p>
        </w:tc>
        <w:tc>
          <w:tcPr>
            <w:tcW w:w="25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Revenue</w:t>
            </w:r>
          </w:p>
        </w:tc>
        <w:tc>
          <w:tcPr>
            <w:tcW w:w="279" w:type="dxa"/>
            <w:tcBorders/>
            <w:vAlign w:val="bottom"/>
          </w:tcPr>
          <w:p>
            <w:pPr>
              <w:pStyle w:val="TableContents"/>
              <w:bidi w:val="0"/>
              <w:spacing w:before="0" w:after="283"/>
              <w:jc w:val="left"/>
              <w:rPr/>
            </w:pPr>
            <w:r>
              <w:rPr/>
              <w:t> </w:t>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14,044</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9,285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0.6</w:t>
            </w:r>
          </w:p>
        </w:tc>
        <w:tc>
          <w:tcPr>
            <w:tcW w:w="279" w:type="dxa"/>
            <w:tcBorders/>
            <w:shd w:fill="CCEEFF" w:val="clear"/>
            <w:vAlign w:val="bottom"/>
          </w:tcPr>
          <w:p>
            <w:pPr>
              <w:pStyle w:val="TableContents"/>
              <w:bidi w:val="0"/>
              <w:spacing w:before="0" w:after="283"/>
              <w:jc w:val="left"/>
              <w:rPr/>
            </w:pPr>
            <w:r>
              <w:rPr/>
              <w:t>% </w:t>
            </w:r>
          </w:p>
        </w:tc>
      </w:tr>
      <w:tr>
        <w:trPr/>
        <w:tc>
          <w:tcPr>
            <w:tcW w:w="3177" w:type="dxa"/>
            <w:tcBorders/>
          </w:tcPr>
          <w:p>
            <w:pPr>
              <w:pStyle w:val="TableContents"/>
              <w:bidi w:val="0"/>
              <w:spacing w:before="0" w:after="0"/>
              <w:jc w:val="left"/>
              <w:rPr>
                <w:rFonts w:ascii="Times New Roman" w:hAnsi="Times New Roman"/>
                <w:sz w:val="20"/>
              </w:rPr>
            </w:pPr>
            <w:r>
              <w:rPr>
                <w:rFonts w:ascii="Times New Roman" w:hAnsi="Times New Roman"/>
                <w:sz w:val="20"/>
              </w:rPr>
              <w:t>Corporate general and administrative income</w:t>
            </w:r>
          </w:p>
        </w:tc>
        <w:tc>
          <w:tcPr>
            <w:tcW w:w="25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1,979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1,339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0.1</w:t>
            </w:r>
          </w:p>
        </w:tc>
        <w:tc>
          <w:tcPr>
            <w:tcW w:w="279" w:type="dxa"/>
            <w:tcBorders/>
            <w:vAlign w:val="bottom"/>
          </w:tcPr>
          <w:p>
            <w:pPr>
              <w:pStyle w:val="TableContents"/>
              <w:bidi w:val="0"/>
              <w:spacing w:before="0" w:after="283"/>
              <w:jc w:val="left"/>
              <w:rPr/>
            </w:pPr>
            <w:r>
              <w:rPr/>
              <w:t>% </w:t>
            </w:r>
          </w:p>
        </w:tc>
      </w:tr>
      <w:tr>
        <w:trPr/>
        <w:tc>
          <w:tcPr>
            <w:tcW w:w="3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5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16,023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10,624</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0.7</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Excluding the impact of the above-mentioned income and expenses related to the deferred compensation plan, the operating results for the six months ended June 30, 2026, and 2025, are as follows (in thousands, except percentages): </w:t>
      </w:r>
    </w:p>
    <w:p>
      <w:pPr>
        <w:pStyle w:val="TextBody"/>
        <w:bidi w:val="0"/>
        <w:spacing w:before="0" w:after="0"/>
        <w:jc w:val="left"/>
        <w:rPr/>
      </w:pPr>
      <w:r>
        <w:rPr/>
        <w:t> </w:t>
      </w:r>
    </w:p>
    <w:tbl>
      <w:tblPr>
        <w:tblW w:w="11470" w:type="dxa"/>
        <w:jc w:val="center"/>
        <w:tblInd w:w="0" w:type="dxa"/>
        <w:tblLayout w:type="fixed"/>
        <w:tblCellMar>
          <w:top w:w="0" w:type="dxa"/>
          <w:left w:w="0" w:type="dxa"/>
          <w:bottom w:w="0" w:type="dxa"/>
          <w:right w:w="0" w:type="dxa"/>
        </w:tblCellMar>
      </w:tblPr>
      <w:tblGrid>
        <w:gridCol w:w="830"/>
        <w:gridCol w:w="120"/>
        <w:gridCol w:w="145"/>
        <w:gridCol w:w="835"/>
        <w:gridCol w:w="60"/>
        <w:gridCol w:w="120"/>
        <w:gridCol w:w="233"/>
        <w:gridCol w:w="1257"/>
        <w:gridCol w:w="155"/>
        <w:gridCol w:w="60"/>
        <w:gridCol w:w="141"/>
        <w:gridCol w:w="809"/>
        <w:gridCol w:w="155"/>
        <w:gridCol w:w="60"/>
        <w:gridCol w:w="108"/>
        <w:gridCol w:w="797"/>
        <w:gridCol w:w="350"/>
        <w:gridCol w:w="60"/>
        <w:gridCol w:w="145"/>
        <w:gridCol w:w="835"/>
        <w:gridCol w:w="60"/>
        <w:gridCol w:w="120"/>
        <w:gridCol w:w="233"/>
        <w:gridCol w:w="1257"/>
        <w:gridCol w:w="155"/>
        <w:gridCol w:w="60"/>
        <w:gridCol w:w="141"/>
        <w:gridCol w:w="809"/>
        <w:gridCol w:w="60"/>
        <w:gridCol w:w="120"/>
        <w:gridCol w:w="108"/>
        <w:gridCol w:w="797"/>
        <w:gridCol w:w="275"/>
      </w:tblGrid>
      <w:tr>
        <w:trPr/>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4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27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93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r>
      <w:tr>
        <w:trPr/>
        <w:tc>
          <w:tcPr>
            <w:tcW w:w="8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Compensation</w:t>
              <w:br/>
              <w:t>Plan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Revenue</w:t>
            </w:r>
          </w:p>
        </w:tc>
        <w:tc>
          <w:tcPr>
            <w:tcW w:w="27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298,455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14,044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312,499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20.4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316,011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257" w:type="dxa"/>
            <w:tcBorders/>
            <w:shd w:fill="CCEEFF" w:val="clear"/>
            <w:vAlign w:val="bottom"/>
          </w:tcPr>
          <w:p>
            <w:pPr>
              <w:pStyle w:val="TableContents"/>
              <w:bidi w:val="0"/>
              <w:spacing w:before="0" w:after="283"/>
              <w:jc w:val="right"/>
              <w:rPr/>
            </w:pPr>
            <w:r>
              <w:rPr/>
              <w:t>9,285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325,296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21.4</w:t>
            </w:r>
          </w:p>
        </w:tc>
        <w:tc>
          <w:tcPr>
            <w:tcW w:w="27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218,578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16,023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234,601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15.3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260,304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10,624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270,928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17.8</w:t>
            </w:r>
          </w:p>
        </w:tc>
        <w:tc>
          <w:tcPr>
            <w:tcW w:w="275" w:type="dxa"/>
            <w:tcBorders/>
            <w:vAlign w:val="bottom"/>
          </w:tcPr>
          <w:p>
            <w:pPr>
              <w:pStyle w:val="TableContents"/>
              <w:bidi w:val="0"/>
              <w:spacing w:before="0" w:after="283"/>
              <w:jc w:val="left"/>
              <w:rPr/>
            </w:pPr>
            <w:r>
              <w:rPr/>
              <w:t>% </w:t>
            </w:r>
          </w:p>
        </w:tc>
      </w:tr>
      <w:tr>
        <w:trPr/>
        <w:tc>
          <w:tcPr>
            <w:tcW w:w="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9,933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(16,023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(6,090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23,408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257" w:type="dxa"/>
            <w:tcBorders/>
            <w:shd w:fill="CCEEFF" w:val="clear"/>
            <w:vAlign w:val="bottom"/>
          </w:tcPr>
          <w:p>
            <w:pPr>
              <w:pStyle w:val="TableContents"/>
              <w:bidi w:val="0"/>
              <w:spacing w:before="0" w:after="283"/>
              <w:jc w:val="right"/>
              <w:rPr/>
            </w:pPr>
            <w:r>
              <w:rPr/>
              <w:t>(10,624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12,784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0.8</w:t>
            </w:r>
          </w:p>
        </w:tc>
        <w:tc>
          <w:tcPr>
            <w:tcW w:w="275" w:type="dxa"/>
            <w:tcBorders/>
            <w:shd w:fill="CCEEFF" w:val="clear"/>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 expense</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238,215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238,215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15.6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230,689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5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230,689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“Other income (expense), net” for the six months ended June 30, 2026, and 2025, is income of $1.6 million and expense of $1.5 million, respectively, related to net changes in the fair value of contingent consideration related to CBIZ’s prior acquisitions.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the schedules reconciling Adjusted Diluted EPS and Adjusted EBITDA to the most directly comparable GAAP financial measures at the end of this release and for additional information as to the usefulness of the non-GAAP financial measures to stockholders and investors see “Non-GAAP Financial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HIGHLIGHTS (UNAUDITED)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SELECT SEGMENT DATA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77"/>
        <w:gridCol w:w="176"/>
        <w:gridCol w:w="189"/>
        <w:gridCol w:w="1135"/>
        <w:gridCol w:w="434"/>
        <w:gridCol w:w="139"/>
        <w:gridCol w:w="189"/>
        <w:gridCol w:w="1140"/>
        <w:gridCol w:w="329"/>
        <w:gridCol w:w="120"/>
        <w:gridCol w:w="139"/>
        <w:gridCol w:w="1006"/>
        <w:gridCol w:w="329"/>
        <w:gridCol w:w="120"/>
        <w:gridCol w:w="140"/>
        <w:gridCol w:w="1006"/>
        <w:gridCol w:w="337"/>
      </w:tblGrid>
      <w:tr>
        <w:trPr/>
        <w:tc>
          <w:tcPr>
            <w:tcW w:w="327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32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337" w:type="dxa"/>
            <w:tcBorders/>
            <w:vAlign w:val="bottom"/>
          </w:tcPr>
          <w:p>
            <w:pPr>
              <w:pStyle w:val="TableContents"/>
              <w:bidi w:val="0"/>
              <w:spacing w:before="0" w:after="283"/>
              <w:jc w:val="left"/>
              <w:rPr/>
            </w:pPr>
            <w:r>
              <w:rPr/>
              <w:t> </w:t>
            </w:r>
          </w:p>
        </w:tc>
      </w:tr>
      <w:tr>
        <w:trPr/>
        <w:tc>
          <w:tcPr>
            <w:tcW w:w="327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4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37" w:type="dxa"/>
            <w:tcBorders/>
            <w:vAlign w:val="bottom"/>
          </w:tcPr>
          <w:p>
            <w:pPr>
              <w:pStyle w:val="TableContents"/>
              <w:bidi w:val="0"/>
              <w:spacing w:before="0" w:after="283"/>
              <w:jc w:val="left"/>
              <w:rPr/>
            </w:pPr>
            <w:r>
              <w:rPr/>
              <w:t> </w:t>
            </w:r>
          </w:p>
        </w:tc>
      </w:tr>
      <w:tr>
        <w:trPr/>
        <w:tc>
          <w:tcPr>
            <w:tcW w:w="3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17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434"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sz w:val="4"/>
                <w:szCs w:val="4"/>
              </w:rPr>
            </w:pPr>
            <w:r>
              <w:rPr>
                <w:sz w:val="4"/>
                <w:szCs w:val="4"/>
              </w:rPr>
            </w:r>
          </w:p>
        </w:tc>
      </w:tr>
      <w:tr>
        <w:trPr/>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Financial Services(1)</w:t>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580,324</w:t>
            </w:r>
          </w:p>
        </w:tc>
        <w:tc>
          <w:tcPr>
            <w:tcW w:w="4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581,567</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1,320,654</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1,306,605</w:t>
            </w:r>
          </w:p>
        </w:tc>
        <w:tc>
          <w:tcPr>
            <w:tcW w:w="337" w:type="dxa"/>
            <w:tcBorders/>
            <w:vAlign w:val="bottom"/>
          </w:tcPr>
          <w:p>
            <w:pPr>
              <w:pStyle w:val="TableContents"/>
              <w:bidi w:val="0"/>
              <w:spacing w:before="0" w:after="283"/>
              <w:jc w:val="left"/>
              <w:rPr/>
            </w:pPr>
            <w:r>
              <w:rPr/>
              <w:t> </w:t>
            </w:r>
          </w:p>
        </w:tc>
      </w:tr>
      <w:tr>
        <w:trPr/>
        <w:tc>
          <w:tcPr>
            <w:tcW w:w="3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Benefits and Insurance Services</w:t>
            </w:r>
          </w:p>
        </w:tc>
        <w:tc>
          <w:tcPr>
            <w:tcW w:w="17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101,882</w:t>
            </w:r>
          </w:p>
        </w:tc>
        <w:tc>
          <w:tcPr>
            <w:tcW w:w="43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101,929</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210,131</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214,905</w:t>
            </w:r>
          </w:p>
        </w:tc>
        <w:tc>
          <w:tcPr>
            <w:tcW w:w="337" w:type="dxa"/>
            <w:tcBorders/>
            <w:shd w:fill="CCEEFF" w:val="clear"/>
            <w:vAlign w:val="bottom"/>
          </w:tcPr>
          <w:p>
            <w:pPr>
              <w:pStyle w:val="TableContents"/>
              <w:bidi w:val="0"/>
              <w:spacing w:before="0" w:after="283"/>
              <w:jc w:val="left"/>
              <w:rPr/>
            </w:pPr>
            <w:r>
              <w:rPr/>
              <w:t> </w:t>
            </w:r>
          </w:p>
        </w:tc>
      </w:tr>
      <w:tr>
        <w:trPr/>
        <w:tc>
          <w:tcPr>
            <w:tcW w:w="327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337" w:type="dxa"/>
            <w:tcBorders/>
            <w:vAlign w:val="center"/>
          </w:tcPr>
          <w:p>
            <w:pPr>
              <w:pStyle w:val="TableContents"/>
              <w:bidi w:val="0"/>
              <w:spacing w:before="0" w:after="283"/>
              <w:jc w:val="left"/>
              <w:rPr/>
            </w:pPr>
            <w:r>
              <w:rPr/>
              <w:t> </w:t>
            </w:r>
          </w:p>
        </w:tc>
      </w:tr>
      <w:tr>
        <w:trPr/>
        <w:tc>
          <w:tcPr>
            <w:tcW w:w="32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b/>
              </w:rPr>
            </w:pPr>
            <w:r>
              <w:rPr>
                <w:b/>
              </w:rPr>
              <w:t>$</w:t>
            </w:r>
          </w:p>
        </w:tc>
        <w:tc>
          <w:tcPr>
            <w:tcW w:w="1135" w:type="dxa"/>
            <w:tcBorders/>
            <w:vAlign w:val="bottom"/>
          </w:tcPr>
          <w:p>
            <w:pPr>
              <w:pStyle w:val="TableContents"/>
              <w:bidi w:val="0"/>
              <w:spacing w:before="0" w:after="283"/>
              <w:jc w:val="right"/>
              <w:rPr>
                <w:b/>
              </w:rPr>
            </w:pPr>
            <w:r>
              <w:rPr>
                <w:b/>
              </w:rPr>
              <w:t>682,206</w:t>
            </w:r>
          </w:p>
        </w:tc>
        <w:tc>
          <w:tcPr>
            <w:tcW w:w="4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b/>
              </w:rPr>
            </w:pPr>
            <w:r>
              <w:rPr>
                <w:b/>
              </w:rPr>
              <w:t>$</w:t>
            </w:r>
          </w:p>
        </w:tc>
        <w:tc>
          <w:tcPr>
            <w:tcW w:w="1140" w:type="dxa"/>
            <w:tcBorders/>
            <w:vAlign w:val="bottom"/>
          </w:tcPr>
          <w:p>
            <w:pPr>
              <w:pStyle w:val="TableContents"/>
              <w:bidi w:val="0"/>
              <w:spacing w:before="0" w:after="283"/>
              <w:jc w:val="right"/>
              <w:rPr>
                <w:b/>
              </w:rPr>
            </w:pPr>
            <w:r>
              <w:rPr>
                <w:b/>
              </w:rPr>
              <w:t>683,496</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b/>
              </w:rPr>
            </w:pPr>
            <w:r>
              <w:rPr>
                <w:b/>
              </w:rPr>
              <w:t>$</w:t>
            </w:r>
          </w:p>
        </w:tc>
        <w:tc>
          <w:tcPr>
            <w:tcW w:w="1006" w:type="dxa"/>
            <w:tcBorders/>
            <w:vAlign w:val="bottom"/>
          </w:tcPr>
          <w:p>
            <w:pPr>
              <w:pStyle w:val="TableContents"/>
              <w:bidi w:val="0"/>
              <w:spacing w:before="0" w:after="283"/>
              <w:jc w:val="right"/>
              <w:rPr>
                <w:b/>
              </w:rPr>
            </w:pPr>
            <w:r>
              <w:rPr>
                <w:b/>
              </w:rPr>
              <w:t>1,530,785</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06" w:type="dxa"/>
            <w:tcBorders/>
            <w:vAlign w:val="bottom"/>
          </w:tcPr>
          <w:p>
            <w:pPr>
              <w:pStyle w:val="TableContents"/>
              <w:bidi w:val="0"/>
              <w:spacing w:before="0" w:after="283"/>
              <w:jc w:val="right"/>
              <w:rPr>
                <w:b/>
              </w:rPr>
            </w:pPr>
            <w:r>
              <w:rPr>
                <w:b/>
              </w:rPr>
              <w:t>1,521,510</w:t>
            </w:r>
          </w:p>
        </w:tc>
        <w:tc>
          <w:tcPr>
            <w:tcW w:w="337" w:type="dxa"/>
            <w:tcBorders/>
            <w:vAlign w:val="bottom"/>
          </w:tcPr>
          <w:p>
            <w:pPr>
              <w:pStyle w:val="TableContents"/>
              <w:bidi w:val="0"/>
              <w:spacing w:before="0" w:after="283"/>
              <w:jc w:val="left"/>
              <w:rPr/>
            </w:pPr>
            <w:r>
              <w:rPr/>
              <w:t> </w:t>
            </w:r>
          </w:p>
        </w:tc>
      </w:tr>
      <w:tr>
        <w:trPr/>
        <w:tc>
          <w:tcPr>
            <w:tcW w:w="327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337" w:type="dxa"/>
            <w:tcBorders/>
            <w:vAlign w:val="center"/>
          </w:tcPr>
          <w:p>
            <w:pPr>
              <w:pStyle w:val="TableContents"/>
              <w:bidi w:val="0"/>
              <w:spacing w:before="0" w:after="283"/>
              <w:jc w:val="left"/>
              <w:rPr/>
            </w:pPr>
            <w:r>
              <w:rPr/>
              <w:t> </w:t>
            </w:r>
          </w:p>
        </w:tc>
      </w:tr>
      <w:tr>
        <w:trPr/>
        <w:tc>
          <w:tcPr>
            <w:tcW w:w="3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17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135" w:type="dxa"/>
            <w:tcBorders/>
            <w:shd w:fill="CCEEFF" w:val="clear"/>
            <w:vAlign w:val="bottom"/>
          </w:tcPr>
          <w:p>
            <w:pPr>
              <w:pStyle w:val="TableContents"/>
              <w:bidi w:val="0"/>
              <w:spacing w:before="0" w:after="283"/>
              <w:jc w:val="left"/>
              <w:rPr>
                <w:sz w:val="4"/>
                <w:szCs w:val="4"/>
              </w:rPr>
            </w:pPr>
            <w:r>
              <w:rPr>
                <w:sz w:val="4"/>
                <w:szCs w:val="4"/>
              </w:rPr>
            </w:r>
          </w:p>
        </w:tc>
        <w:tc>
          <w:tcPr>
            <w:tcW w:w="434"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140"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6"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sz w:val="4"/>
                <w:szCs w:val="4"/>
              </w:rPr>
            </w:pPr>
            <w:r>
              <w:rPr>
                <w:sz w:val="4"/>
                <w:szCs w:val="4"/>
              </w:rPr>
            </w:r>
          </w:p>
        </w:tc>
      </w:tr>
      <w:tr>
        <w:trPr/>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Financial Services(1)</w:t>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35" w:type="dxa"/>
            <w:tcBorders/>
            <w:vAlign w:val="bottom"/>
          </w:tcPr>
          <w:p>
            <w:pPr>
              <w:pStyle w:val="TableContents"/>
              <w:bidi w:val="0"/>
              <w:spacing w:before="0" w:after="283"/>
              <w:jc w:val="right"/>
              <w:rPr/>
            </w:pPr>
            <w:r>
              <w:rPr/>
              <w:t>80,512</w:t>
            </w:r>
          </w:p>
        </w:tc>
        <w:tc>
          <w:tcPr>
            <w:tcW w:w="4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86,628</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290,072</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290,908</w:t>
            </w:r>
          </w:p>
        </w:tc>
        <w:tc>
          <w:tcPr>
            <w:tcW w:w="337" w:type="dxa"/>
            <w:tcBorders/>
            <w:vAlign w:val="bottom"/>
          </w:tcPr>
          <w:p>
            <w:pPr>
              <w:pStyle w:val="TableContents"/>
              <w:bidi w:val="0"/>
              <w:spacing w:before="0" w:after="283"/>
              <w:jc w:val="left"/>
              <w:rPr/>
            </w:pPr>
            <w:r>
              <w:rPr/>
              <w:t> </w:t>
            </w:r>
          </w:p>
        </w:tc>
      </w:tr>
      <w:tr>
        <w:trPr/>
        <w:tc>
          <w:tcPr>
            <w:tcW w:w="3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Benefits and Insurance Services</w:t>
            </w:r>
          </w:p>
        </w:tc>
        <w:tc>
          <w:tcPr>
            <w:tcW w:w="17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15,587</w:t>
            </w:r>
          </w:p>
        </w:tc>
        <w:tc>
          <w:tcPr>
            <w:tcW w:w="43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17,922</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38,602</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45,540</w:t>
            </w:r>
          </w:p>
        </w:tc>
        <w:tc>
          <w:tcPr>
            <w:tcW w:w="337" w:type="dxa"/>
            <w:tcBorders/>
            <w:shd w:fill="CCEEFF" w:val="clear"/>
            <w:vAlign w:val="bottom"/>
          </w:tcPr>
          <w:p>
            <w:pPr>
              <w:pStyle w:val="TableContents"/>
              <w:bidi w:val="0"/>
              <w:spacing w:before="0" w:after="283"/>
              <w:jc w:val="left"/>
              <w:rPr/>
            </w:pPr>
            <w:r>
              <w:rPr/>
              <w:t> </w:t>
            </w:r>
          </w:p>
        </w:tc>
      </w:tr>
      <w:tr>
        <w:trPr/>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 - unallocated (2):</w:t>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135"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140"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r>
      <w:tr>
        <w:trPr/>
        <w:tc>
          <w:tcPr>
            <w:tcW w:w="3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7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(6,548</w:t>
            </w:r>
          </w:p>
        </w:tc>
        <w:tc>
          <w:tcPr>
            <w:tcW w:w="43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(4,924</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(16,175</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(11,152</w:t>
            </w:r>
          </w:p>
        </w:tc>
        <w:tc>
          <w:tcPr>
            <w:tcW w:w="337" w:type="dxa"/>
            <w:tcBorders/>
            <w:shd w:fill="CCEEFF" w:val="clear"/>
            <w:vAlign w:val="bottom"/>
          </w:tcPr>
          <w:p>
            <w:pPr>
              <w:pStyle w:val="TableContents"/>
              <w:bidi w:val="0"/>
              <w:spacing w:before="0" w:after="283"/>
              <w:jc w:val="left"/>
              <w:rPr/>
            </w:pPr>
            <w:r>
              <w:rPr/>
              <w:t>) </w:t>
            </w:r>
          </w:p>
        </w:tc>
      </w:tr>
      <w:tr>
        <w:trPr/>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(17,113</w:t>
            </w:r>
          </w:p>
        </w:tc>
        <w:tc>
          <w:tcPr>
            <w:tcW w:w="43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(11,717</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(14,044</w:t>
            </w:r>
          </w:p>
        </w:tc>
        <w:tc>
          <w:tcPr>
            <w:tcW w:w="32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(9,285</w:t>
            </w:r>
          </w:p>
        </w:tc>
        <w:tc>
          <w:tcPr>
            <w:tcW w:w="337" w:type="dxa"/>
            <w:tcBorders/>
            <w:vAlign w:val="bottom"/>
          </w:tcPr>
          <w:p>
            <w:pPr>
              <w:pStyle w:val="TableContents"/>
              <w:bidi w:val="0"/>
              <w:spacing w:before="0" w:after="283"/>
              <w:jc w:val="left"/>
              <w:rPr/>
            </w:pPr>
            <w:r>
              <w:rPr/>
              <w:t>) </w:t>
            </w:r>
          </w:p>
        </w:tc>
      </w:tr>
      <w:tr>
        <w:trPr/>
        <w:tc>
          <w:tcPr>
            <w:tcW w:w="327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35" w:type="dxa"/>
            <w:tcBorders/>
            <w:vAlign w:val="bottom"/>
          </w:tcPr>
          <w:p>
            <w:pPr>
              <w:pStyle w:val="TableContents"/>
              <w:pBdr>
                <w:top w:val="single" w:sz="2"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337" w:type="dxa"/>
            <w:tcBorders/>
            <w:vAlign w:val="center"/>
          </w:tcPr>
          <w:p>
            <w:pPr>
              <w:pStyle w:val="TableContents"/>
              <w:bidi w:val="0"/>
              <w:spacing w:before="0" w:after="283"/>
              <w:jc w:val="left"/>
              <w:rPr/>
            </w:pPr>
            <w:r>
              <w:rPr/>
              <w:t> </w:t>
            </w:r>
          </w:p>
        </w:tc>
      </w:tr>
      <w:tr>
        <w:trPr/>
        <w:tc>
          <w:tcPr>
            <w:tcW w:w="32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Gross Margin</w:t>
            </w:r>
          </w:p>
        </w:tc>
        <w:tc>
          <w:tcPr>
            <w:tcW w:w="176"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b/>
              </w:rPr>
            </w:pPr>
            <w:r>
              <w:rPr>
                <w:b/>
              </w:rPr>
              <w:t>$</w:t>
            </w:r>
          </w:p>
        </w:tc>
        <w:tc>
          <w:tcPr>
            <w:tcW w:w="1135" w:type="dxa"/>
            <w:tcBorders/>
            <w:shd w:fill="CCEEFF" w:val="clear"/>
            <w:vAlign w:val="bottom"/>
          </w:tcPr>
          <w:p>
            <w:pPr>
              <w:pStyle w:val="TableContents"/>
              <w:bidi w:val="0"/>
              <w:spacing w:before="0" w:after="283"/>
              <w:jc w:val="right"/>
              <w:rPr>
                <w:b/>
              </w:rPr>
            </w:pPr>
            <w:r>
              <w:rPr>
                <w:b/>
              </w:rPr>
              <w:t>72,438</w:t>
            </w:r>
          </w:p>
        </w:tc>
        <w:tc>
          <w:tcPr>
            <w:tcW w:w="43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b/>
              </w:rPr>
            </w:pPr>
            <w:r>
              <w:rPr>
                <w:b/>
              </w:rPr>
              <w:t>$</w:t>
            </w:r>
          </w:p>
        </w:tc>
        <w:tc>
          <w:tcPr>
            <w:tcW w:w="1140" w:type="dxa"/>
            <w:tcBorders/>
            <w:shd w:fill="CCEEFF" w:val="clear"/>
            <w:vAlign w:val="bottom"/>
          </w:tcPr>
          <w:p>
            <w:pPr>
              <w:pStyle w:val="TableContents"/>
              <w:bidi w:val="0"/>
              <w:spacing w:before="0" w:after="283"/>
              <w:jc w:val="right"/>
              <w:rPr>
                <w:b/>
              </w:rPr>
            </w:pPr>
            <w:r>
              <w:rPr>
                <w:b/>
              </w:rPr>
              <w:t>87,909</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b/>
              </w:rPr>
            </w:pPr>
            <w:r>
              <w:rPr>
                <w:b/>
              </w:rPr>
              <w:t>$</w:t>
            </w:r>
          </w:p>
        </w:tc>
        <w:tc>
          <w:tcPr>
            <w:tcW w:w="1006" w:type="dxa"/>
            <w:tcBorders/>
            <w:shd w:fill="CCEEFF" w:val="clear"/>
            <w:vAlign w:val="bottom"/>
          </w:tcPr>
          <w:p>
            <w:pPr>
              <w:pStyle w:val="TableContents"/>
              <w:bidi w:val="0"/>
              <w:spacing w:before="0" w:after="283"/>
              <w:jc w:val="right"/>
              <w:rPr>
                <w:b/>
              </w:rPr>
            </w:pPr>
            <w:r>
              <w:rPr>
                <w:b/>
              </w:rPr>
              <w:t>298,455</w:t>
            </w:r>
          </w:p>
        </w:tc>
        <w:tc>
          <w:tcPr>
            <w:tcW w:w="32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06" w:type="dxa"/>
            <w:tcBorders/>
            <w:shd w:fill="CCEEFF" w:val="clear"/>
            <w:vAlign w:val="bottom"/>
          </w:tcPr>
          <w:p>
            <w:pPr>
              <w:pStyle w:val="TableContents"/>
              <w:bidi w:val="0"/>
              <w:spacing w:before="0" w:after="283"/>
              <w:jc w:val="right"/>
              <w:rPr>
                <w:b/>
              </w:rPr>
            </w:pPr>
            <w:r>
              <w:rPr>
                <w:b/>
              </w:rPr>
              <w:t>316,011</w:t>
            </w:r>
          </w:p>
        </w:tc>
        <w:tc>
          <w:tcPr>
            <w:tcW w:w="337" w:type="dxa"/>
            <w:tcBorders/>
            <w:shd w:fill="CCEEFF" w:val="clear"/>
            <w:vAlign w:val="bottom"/>
          </w:tcPr>
          <w:p>
            <w:pPr>
              <w:pStyle w:val="TableContents"/>
              <w:bidi w:val="0"/>
              <w:spacing w:before="0" w:after="283"/>
              <w:jc w:val="left"/>
              <w:rPr/>
            </w:pPr>
            <w:r>
              <w:rPr/>
              <w:t> </w:t>
            </w:r>
          </w:p>
        </w:tc>
      </w:tr>
      <w:tr>
        <w:trPr/>
        <w:tc>
          <w:tcPr>
            <w:tcW w:w="327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35" w:type="dxa"/>
            <w:tcBorders/>
            <w:vAlign w:val="bottom"/>
          </w:tcPr>
          <w:p>
            <w:pPr>
              <w:pStyle w:val="TableContents"/>
              <w:pBdr>
                <w:top w:val="double" w:sz="6" w:space="1" w:color="000000"/>
              </w:pBdr>
              <w:bidi w:val="0"/>
              <w:spacing w:before="0" w:after="0"/>
              <w:jc w:val="left"/>
              <w:rPr/>
            </w:pPr>
            <w:r>
              <w:rPr/>
              <w:t> </w:t>
            </w:r>
          </w:p>
        </w:tc>
        <w:tc>
          <w:tcPr>
            <w:tcW w:w="434"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337" w:type="dxa"/>
            <w:tcBorders/>
            <w:vAlign w:val="center"/>
          </w:tcPr>
          <w:p>
            <w:pPr>
              <w:pStyle w:val="TableContents"/>
              <w:bidi w:val="0"/>
              <w:spacing w:before="0" w:after="283"/>
              <w:jc w:val="left"/>
              <w:rPr/>
            </w:pPr>
            <w:r>
              <w:rPr/>
              <w:t> </w:t>
            </w:r>
          </w:p>
        </w:tc>
      </w:tr>
      <w:tr>
        <w:trPr/>
        <w:tc>
          <w:tcPr>
            <w:tcW w:w="327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76"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b/>
              </w:rPr>
            </w:pPr>
            <w:r>
              <w:rPr>
                <w:b/>
              </w:rPr>
              <w:t>10.6</w:t>
            </w:r>
          </w:p>
        </w:tc>
        <w:tc>
          <w:tcPr>
            <w:tcW w:w="434" w:type="dxa"/>
            <w:tcBorders/>
            <w:vAlign w:val="bottom"/>
          </w:tcPr>
          <w:p>
            <w:pPr>
              <w:pStyle w:val="TableContents"/>
              <w:bidi w:val="0"/>
              <w:spacing w:before="0" w:after="283"/>
              <w:jc w:val="left"/>
              <w:rPr>
                <w:b/>
              </w:rPr>
            </w:pPr>
            <w:r>
              <w:rPr>
                <w:b/>
              </w:rPr>
              <w:t>% </w:t>
            </w:r>
          </w:p>
        </w:tc>
        <w:tc>
          <w:tcPr>
            <w:tcW w:w="13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b/>
              </w:rPr>
            </w:pPr>
            <w:r>
              <w:rPr>
                <w:b/>
              </w:rPr>
              <w:t>12.9</w:t>
            </w:r>
          </w:p>
        </w:tc>
        <w:tc>
          <w:tcPr>
            <w:tcW w:w="329"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b/>
              </w:rPr>
            </w:pPr>
            <w:r>
              <w:rPr>
                <w:b/>
              </w:rPr>
              <w:t>19.5</w:t>
            </w:r>
          </w:p>
        </w:tc>
        <w:tc>
          <w:tcPr>
            <w:tcW w:w="329"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b/>
              </w:rPr>
            </w:pPr>
            <w:r>
              <w:rPr>
                <w:b/>
              </w:rPr>
              <w:t>20.8</w:t>
            </w:r>
          </w:p>
        </w:tc>
        <w:tc>
          <w:tcPr>
            <w:tcW w:w="337"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of June 30, 2026, the National Practice practice was combined with the Financial Service practice group to better align with internal management and reporting structure. As a result, the Financial Services revenue and gross margin for the three and six months ended June 30, 2025 was adjusted to reflect this change.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operating expenses not directly allocated to individual businesses, including stock-based compensation, consolidation and integration charges, and certain advertising expenses. “Operating expenses - unallocated” also includes gains or losses attributable to the assets held in a rabbi trust associated with the Company’s deferred compensation plan. These gains or losses do not impact “Income before income tax expense” as they are directly offset by the same adjustment to “Other income (expense), net” in the Consolidated Statements of Comprehensive Income. Net gains or losses recognized from adjustments to the fair value of the assets held in the rabbi trust are recorded as compensation expense (income) in “Operating expenses” and “Corporate, general and administrative expenses,” and offset in “Other income (expense), net.”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SELECT CASH FLOW DATA (UNAUDITED)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4"/>
        <w:gridCol w:w="233"/>
        <w:gridCol w:w="172"/>
        <w:gridCol w:w="1088"/>
        <w:gridCol w:w="190"/>
        <w:gridCol w:w="198"/>
        <w:gridCol w:w="172"/>
        <w:gridCol w:w="1091"/>
        <w:gridCol w:w="157"/>
      </w:tblGrid>
      <w:tr>
        <w:trPr/>
        <w:tc>
          <w:tcPr>
            <w:tcW w:w="690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9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7"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1088" w:type="dxa"/>
            <w:tcBorders/>
            <w:shd w:fill="CCEEFF" w:val="clear"/>
            <w:vAlign w:val="bottom"/>
          </w:tcPr>
          <w:p>
            <w:pPr>
              <w:pStyle w:val="TableContents"/>
              <w:bidi w:val="0"/>
              <w:spacing w:before="0" w:after="283"/>
              <w:jc w:val="right"/>
              <w:rPr>
                <w:b/>
              </w:rPr>
            </w:pPr>
            <w:r>
              <w:rPr>
                <w:b/>
              </w:rPr>
              <w:t>171,391</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164,715</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 to reconcile net income to net cash used in operating activities: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9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47,134</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49,858</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Bad debt expense, net of recoveries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3,116</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1,862</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Adjustment to contingent purchase price liabilities</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(1,578</w:t>
            </w:r>
          </w:p>
        </w:tc>
        <w:tc>
          <w:tcPr>
            <w:tcW w:w="190" w:type="dxa"/>
            <w:tcBorders/>
            <w:shd w:fill="CCEEFF" w:val="clear"/>
            <w:vAlign w:val="bottom"/>
          </w:tcPr>
          <w:p>
            <w:pPr>
              <w:pStyle w:val="TableContents"/>
              <w:bidi w:val="0"/>
              <w:spacing w:before="0" w:after="283"/>
              <w:jc w:val="left"/>
              <w:rPr>
                <w:b/>
              </w:rPr>
            </w:pPr>
            <w:r>
              <w:rPr>
                <w:b/>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1,487</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15,635</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12,239</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19,746</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17,148</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 fees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2,686</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2,735</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1,013</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(52</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tcPr>
          <w:p>
            <w:pPr>
              <w:pStyle w:val="TableContents"/>
              <w:bidi w:val="0"/>
              <w:spacing w:before="0" w:after="0"/>
              <w:jc w:val="left"/>
              <w:rPr>
                <w:rFonts w:ascii="Times New Roman" w:hAnsi="Times New Roman"/>
                <w:i/>
                <w:sz w:val="20"/>
              </w:rPr>
            </w:pPr>
            <w:r>
              <w:rPr>
                <w:rFonts w:ascii="Times New Roman" w:hAnsi="Times New Roman"/>
                <w:i/>
                <w:sz w:val="20"/>
              </w:rPr>
              <w:t>Changes in assets and liabilities, net of acquisitions and divestitures: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1091"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(158,856</w:t>
            </w:r>
          </w:p>
        </w:tc>
        <w:tc>
          <w:tcPr>
            <w:tcW w:w="190" w:type="dxa"/>
            <w:tcBorders/>
            <w:shd w:fill="CCEEFF" w:val="clear"/>
            <w:vAlign w:val="bottom"/>
          </w:tcPr>
          <w:p>
            <w:pPr>
              <w:pStyle w:val="TableContents"/>
              <w:bidi w:val="0"/>
              <w:spacing w:before="0" w:after="283"/>
              <w:jc w:val="left"/>
              <w:rPr>
                <w:b/>
              </w:rPr>
            </w:pPr>
            <w:r>
              <w:rPr>
                <w:b/>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(143,107</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(8,331</w:t>
            </w:r>
          </w:p>
        </w:tc>
        <w:tc>
          <w:tcPr>
            <w:tcW w:w="190" w:type="dxa"/>
            <w:tcBorders/>
            <w:vAlign w:val="bottom"/>
          </w:tcPr>
          <w:p>
            <w:pPr>
              <w:pStyle w:val="TableContents"/>
              <w:bidi w:val="0"/>
              <w:spacing w:before="0" w:after="283"/>
              <w:jc w:val="left"/>
              <w:rPr>
                <w:b/>
              </w:rPr>
            </w:pPr>
            <w:r>
              <w:rPr>
                <w:b/>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(12,459</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24,580</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28,848</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19,346</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28,119</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personnel costs</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(42,009</w:t>
            </w:r>
          </w:p>
        </w:tc>
        <w:tc>
          <w:tcPr>
            <w:tcW w:w="190" w:type="dxa"/>
            <w:tcBorders/>
            <w:shd w:fill="CCEEFF" w:val="clear"/>
            <w:vAlign w:val="bottom"/>
          </w:tcPr>
          <w:p>
            <w:pPr>
              <w:pStyle w:val="TableContents"/>
              <w:bidi w:val="0"/>
              <w:spacing w:before="0" w:after="283"/>
              <w:jc w:val="left"/>
              <w:rPr>
                <w:b/>
              </w:rPr>
            </w:pPr>
            <w:r>
              <w:rPr>
                <w:b/>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(75,561</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28,354</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(50,952</w:t>
            </w:r>
          </w:p>
        </w:tc>
        <w:tc>
          <w:tcPr>
            <w:tcW w:w="157"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122,227</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24,880</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(21,460</w:t>
            </w:r>
          </w:p>
        </w:tc>
        <w:tc>
          <w:tcPr>
            <w:tcW w:w="190" w:type="dxa"/>
            <w:tcBorders/>
            <w:vAlign w:val="bottom"/>
          </w:tcPr>
          <w:p>
            <w:pPr>
              <w:pStyle w:val="TableContents"/>
              <w:bidi w:val="0"/>
              <w:spacing w:before="0" w:after="283"/>
              <w:jc w:val="left"/>
              <w:rPr>
                <w:b/>
              </w:rPr>
            </w:pPr>
            <w:r>
              <w:rPr>
                <w:b/>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(12,299</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(158,315</w:t>
            </w:r>
          </w:p>
        </w:tc>
        <w:tc>
          <w:tcPr>
            <w:tcW w:w="190" w:type="dxa"/>
            <w:tcBorders/>
            <w:shd w:fill="CCEEFF" w:val="clear"/>
            <w:vAlign w:val="bottom"/>
          </w:tcPr>
          <w:p>
            <w:pPr>
              <w:pStyle w:val="TableContents"/>
              <w:bidi w:val="0"/>
              <w:spacing w:before="0" w:after="283"/>
              <w:jc w:val="left"/>
              <w:rPr>
                <w:b/>
              </w:rPr>
            </w:pPr>
            <w:r>
              <w:rPr>
                <w:b/>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(33,249</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decrease in cash, cash equivalents and restricted cash</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(57,548</w:t>
            </w:r>
          </w:p>
        </w:tc>
        <w:tc>
          <w:tcPr>
            <w:tcW w:w="190" w:type="dxa"/>
            <w:tcBorders/>
            <w:vAlign w:val="bottom"/>
          </w:tcPr>
          <w:p>
            <w:pPr>
              <w:pStyle w:val="TableContents"/>
              <w:bidi w:val="0"/>
              <w:spacing w:before="0" w:after="283"/>
              <w:jc w:val="left"/>
              <w:rPr>
                <w:b/>
              </w:rPr>
            </w:pPr>
            <w:r>
              <w:rPr>
                <w:b/>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(20,668</w:t>
            </w:r>
          </w:p>
        </w:tc>
        <w:tc>
          <w:tcPr>
            <w:tcW w:w="157"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218,090</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187,170</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period</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1088" w:type="dxa"/>
            <w:tcBorders/>
            <w:vAlign w:val="bottom"/>
          </w:tcPr>
          <w:p>
            <w:pPr>
              <w:pStyle w:val="TableContents"/>
              <w:bidi w:val="0"/>
              <w:spacing w:before="0" w:after="283"/>
              <w:jc w:val="right"/>
              <w:rPr>
                <w:b/>
              </w:rPr>
            </w:pPr>
            <w:r>
              <w:rPr>
                <w:b/>
              </w:rPr>
              <w:t>160,542</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166,502</w:t>
            </w:r>
          </w:p>
        </w:tc>
        <w:tc>
          <w:tcPr>
            <w:tcW w:w="157"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10048"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cash, cash equivalents and restricted cash to the consolidated balance sheet:</w:t>
            </w:r>
          </w:p>
        </w:tc>
        <w:tc>
          <w:tcPr>
            <w:tcW w:w="157" w:type="dxa"/>
            <w:tcBorders/>
            <w:shd w:fill="CCEEFF" w:val="clear"/>
          </w:tcPr>
          <w:p>
            <w:pPr>
              <w:pStyle w:val="TableContents"/>
              <w:bidi w:val="0"/>
              <w:spacing w:before="0" w:after="0"/>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1088" w:type="dxa"/>
            <w:tcBorders/>
            <w:vAlign w:val="bottom"/>
          </w:tcPr>
          <w:p>
            <w:pPr>
              <w:pStyle w:val="TableContents"/>
              <w:bidi w:val="0"/>
              <w:spacing w:before="0" w:after="283"/>
              <w:jc w:val="right"/>
              <w:rPr>
                <w:b/>
              </w:rPr>
            </w:pPr>
            <w:r>
              <w:rPr>
                <w:b/>
              </w:rPr>
              <w:t>20,901</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91" w:type="dxa"/>
            <w:tcBorders/>
            <w:vAlign w:val="bottom"/>
          </w:tcPr>
          <w:p>
            <w:pPr>
              <w:pStyle w:val="TableContents"/>
              <w:bidi w:val="0"/>
              <w:spacing w:before="0" w:after="283"/>
              <w:jc w:val="right"/>
              <w:rPr/>
            </w:pPr>
            <w:r>
              <w:rPr/>
              <w:t>39,817</w:t>
            </w:r>
          </w:p>
        </w:tc>
        <w:tc>
          <w:tcPr>
            <w:tcW w:w="157" w:type="dxa"/>
            <w:tcBorders/>
            <w:vAlign w:val="bottom"/>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49,615</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49,145</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equivalents included in funds held for clients</w:t>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90,026</w:t>
            </w:r>
          </w:p>
        </w:tc>
        <w:tc>
          <w:tcPr>
            <w:tcW w:w="19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283"/>
              <w:jc w:val="right"/>
              <w:rPr/>
            </w:pPr>
            <w:r>
              <w:rPr/>
              <w:t>77,540</w:t>
            </w:r>
          </w:p>
        </w:tc>
        <w:tc>
          <w:tcPr>
            <w:tcW w:w="157" w:type="dxa"/>
            <w:tcBorders/>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109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cash, cash equivalents and restricted cash</w:t>
            </w:r>
          </w:p>
        </w:tc>
        <w:tc>
          <w:tcPr>
            <w:tcW w:w="23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1088" w:type="dxa"/>
            <w:tcBorders/>
            <w:shd w:fill="CCEEFF" w:val="clear"/>
            <w:vAlign w:val="bottom"/>
          </w:tcPr>
          <w:p>
            <w:pPr>
              <w:pStyle w:val="TableContents"/>
              <w:bidi w:val="0"/>
              <w:spacing w:before="0" w:after="283"/>
              <w:jc w:val="right"/>
              <w:rPr>
                <w:b/>
              </w:rPr>
            </w:pPr>
            <w:r>
              <w:rPr>
                <w:b/>
              </w:rPr>
              <w:t>160,542</w:t>
            </w:r>
          </w:p>
        </w:tc>
        <w:tc>
          <w:tcPr>
            <w:tcW w:w="19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91" w:type="dxa"/>
            <w:tcBorders/>
            <w:shd w:fill="CCEEFF" w:val="clear"/>
            <w:vAlign w:val="bottom"/>
          </w:tcPr>
          <w:p>
            <w:pPr>
              <w:pStyle w:val="TableContents"/>
              <w:bidi w:val="0"/>
              <w:spacing w:before="0" w:after="283"/>
              <w:jc w:val="right"/>
              <w:rPr/>
            </w:pPr>
            <w:r>
              <w:rPr/>
              <w:t>166,502</w:t>
            </w:r>
          </w:p>
        </w:tc>
        <w:tc>
          <w:tcPr>
            <w:tcW w:w="157" w:type="dxa"/>
            <w:tcBorders/>
            <w:shd w:fill="CCEEFF" w:val="clear"/>
            <w:vAlign w:val="bottom"/>
          </w:tcPr>
          <w:p>
            <w:pPr>
              <w:pStyle w:val="TableContents"/>
              <w:bidi w:val="0"/>
              <w:spacing w:before="0" w:after="283"/>
              <w:jc w:val="left"/>
              <w:rPr/>
            </w:pPr>
            <w:r>
              <w:rPr/>
              <w:t> </w:t>
            </w:r>
          </w:p>
        </w:tc>
      </w:tr>
      <w:tr>
        <w:trPr/>
        <w:tc>
          <w:tcPr>
            <w:tcW w:w="69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109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GAAP RECONCILIATION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Operating Cash Flow to Free Cash Flow(1)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30"/>
        <w:gridCol w:w="162"/>
        <w:gridCol w:w="188"/>
        <w:gridCol w:w="1090"/>
        <w:gridCol w:w="209"/>
        <w:gridCol w:w="132"/>
        <w:gridCol w:w="188"/>
        <w:gridCol w:w="1047"/>
        <w:gridCol w:w="159"/>
      </w:tblGrid>
      <w:tr>
        <w:trPr/>
        <w:tc>
          <w:tcPr>
            <w:tcW w:w="703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3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8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703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0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70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090" w:type="dxa"/>
            <w:tcBorders/>
            <w:shd w:fill="CCEEFF" w:val="clear"/>
            <w:vAlign w:val="bottom"/>
          </w:tcPr>
          <w:p>
            <w:pPr>
              <w:pStyle w:val="TableContents"/>
              <w:bidi w:val="0"/>
              <w:spacing w:before="0" w:after="283"/>
              <w:jc w:val="right"/>
              <w:rPr>
                <w:b/>
              </w:rPr>
            </w:pPr>
            <w:r>
              <w:rPr>
                <w:b/>
              </w:rPr>
              <w:t>122,227</w:t>
            </w:r>
          </w:p>
        </w:tc>
        <w:tc>
          <w:tcPr>
            <w:tcW w:w="20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047" w:type="dxa"/>
            <w:tcBorders/>
            <w:shd w:fill="CCEEFF" w:val="clear"/>
            <w:vAlign w:val="bottom"/>
          </w:tcPr>
          <w:p>
            <w:pPr>
              <w:pStyle w:val="TableContents"/>
              <w:bidi w:val="0"/>
              <w:spacing w:before="0" w:after="283"/>
              <w:jc w:val="right"/>
              <w:rPr>
                <w:b/>
              </w:rPr>
            </w:pPr>
            <w:r>
              <w:rPr>
                <w:b/>
              </w:rPr>
              <w:t>24,880</w:t>
            </w:r>
          </w:p>
        </w:tc>
        <w:tc>
          <w:tcPr>
            <w:tcW w:w="159" w:type="dxa"/>
            <w:tcBorders/>
            <w:shd w:fill="CCEEFF" w:val="clear"/>
            <w:vAlign w:val="bottom"/>
          </w:tcPr>
          <w:p>
            <w:pPr>
              <w:pStyle w:val="TableContents"/>
              <w:bidi w:val="0"/>
              <w:spacing w:before="0" w:after="283"/>
              <w:jc w:val="left"/>
              <w:rPr/>
            </w:pPr>
            <w:r>
              <w:rPr/>
              <w:t> </w:t>
            </w:r>
          </w:p>
        </w:tc>
      </w:tr>
      <w:tr>
        <w:trPr/>
        <w:tc>
          <w:tcPr>
            <w:tcW w:w="7030" w:type="dxa"/>
            <w:tcBorders/>
          </w:tcPr>
          <w:p>
            <w:pPr>
              <w:pStyle w:val="TableContents"/>
              <w:bidi w:val="0"/>
              <w:spacing w:before="0" w:after="0"/>
              <w:jc w:val="left"/>
              <w:rPr>
                <w:rFonts w:ascii="Times New Roman" w:hAnsi="Times New Roman"/>
                <w:i/>
                <w:sz w:val="20"/>
              </w:rPr>
            </w:pPr>
            <w:r>
              <w:rPr>
                <w:rFonts w:ascii="Times New Roman" w:hAnsi="Times New Roman"/>
                <w:i/>
                <w:sz w:val="20"/>
              </w:rPr>
              <w:t>Less:</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property and equipment</w:t>
            </w:r>
          </w:p>
        </w:tc>
        <w:tc>
          <w:tcPr>
            <w:tcW w:w="16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(11,739</w:t>
            </w:r>
          </w:p>
        </w:tc>
        <w:tc>
          <w:tcPr>
            <w:tcW w:w="20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(13,125</w:t>
            </w:r>
          </w:p>
        </w:tc>
        <w:tc>
          <w:tcPr>
            <w:tcW w:w="159" w:type="dxa"/>
            <w:tcBorders/>
            <w:shd w:fill="CCEEFF" w:val="clear"/>
            <w:vAlign w:val="bottom"/>
          </w:tcPr>
          <w:p>
            <w:pPr>
              <w:pStyle w:val="TableContents"/>
              <w:bidi w:val="0"/>
              <w:spacing w:before="0" w:after="283"/>
              <w:jc w:val="left"/>
              <w:rPr/>
            </w:pPr>
            <w:r>
              <w:rPr/>
              <w:t>) </w:t>
            </w:r>
          </w:p>
        </w:tc>
      </w:tr>
      <w:tr>
        <w:trPr/>
        <w:tc>
          <w:tcPr>
            <w:tcW w:w="703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Free Cash Flow</w:t>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090" w:type="dxa"/>
            <w:tcBorders/>
            <w:vAlign w:val="bottom"/>
          </w:tcPr>
          <w:p>
            <w:pPr>
              <w:pStyle w:val="TableContents"/>
              <w:bidi w:val="0"/>
              <w:spacing w:before="0" w:after="283"/>
              <w:jc w:val="right"/>
              <w:rPr>
                <w:b/>
              </w:rPr>
            </w:pPr>
            <w:r>
              <w:rPr>
                <w:b/>
              </w:rPr>
              <w:t>110,488</w:t>
            </w:r>
          </w:p>
        </w:tc>
        <w:tc>
          <w:tcPr>
            <w:tcW w:w="20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047" w:type="dxa"/>
            <w:tcBorders/>
            <w:vAlign w:val="bottom"/>
          </w:tcPr>
          <w:p>
            <w:pPr>
              <w:pStyle w:val="TableContents"/>
              <w:bidi w:val="0"/>
              <w:spacing w:before="0" w:after="283"/>
              <w:jc w:val="right"/>
              <w:rPr>
                <w:b/>
              </w:rPr>
            </w:pPr>
            <w:r>
              <w:rPr>
                <w:b/>
              </w:rPr>
              <w:t>11,755</w:t>
            </w:r>
          </w:p>
        </w:tc>
        <w:tc>
          <w:tcPr>
            <w:tcW w:w="159" w:type="dxa"/>
            <w:tcBorders/>
            <w:vAlign w:val="bottom"/>
          </w:tcPr>
          <w:p>
            <w:pPr>
              <w:pStyle w:val="TableContents"/>
              <w:bidi w:val="0"/>
              <w:spacing w:before="0" w:after="283"/>
              <w:jc w:val="left"/>
              <w:rPr/>
            </w:pPr>
            <w:r>
              <w:rPr/>
              <w:t> </w:t>
            </w:r>
          </w:p>
        </w:tc>
      </w:tr>
      <w:tr>
        <w:trPr/>
        <w:tc>
          <w:tcPr>
            <w:tcW w:w="703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reconciles Free Cash Flow to the most directly comparable GAAP financial measure of net cash provided by operating activities. Free Cash Flow is a non-GAAP measure that management believes provides a more complete understanding of the factors and trends affecting our cash flows. This information is useful to investors, as it offers a measure of cash generated from our business that can be used for our strategic business objectives.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SELECT FINANCIAL DATA AND RATIOS (UNAUDITED) </w:t>
      </w:r>
    </w:p>
    <w:p>
      <w:pPr>
        <w:pStyle w:val="TextBody"/>
        <w:bidi w:val="0"/>
        <w:spacing w:before="0" w:after="0"/>
        <w:jc w:val="center"/>
        <w:rPr>
          <w:rFonts w:ascii="Times New Roman" w:hAnsi="Times New Roman"/>
          <w:b/>
          <w:i/>
          <w:sz w:val="20"/>
        </w:rPr>
      </w:pPr>
      <w:r>
        <w:rPr>
          <w:rFonts w:ascii="Times New Roman" w:hAnsi="Times New Roman"/>
          <w:b/>
          <w:i/>
          <w:sz w:val="20"/>
        </w:rPr>
        <w:t xml:space="preserve">(In thousands, except percentages, DSO,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87"/>
        <w:gridCol w:w="457"/>
        <w:gridCol w:w="140"/>
        <w:gridCol w:w="1095"/>
        <w:gridCol w:w="275"/>
        <w:gridCol w:w="405"/>
        <w:gridCol w:w="229"/>
        <w:gridCol w:w="1739"/>
        <w:gridCol w:w="278"/>
      </w:tblGrid>
      <w:tr>
        <w:trPr/>
        <w:tc>
          <w:tcPr>
            <w:tcW w:w="5587"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587"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20,901</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39" w:type="dxa"/>
            <w:tcBorders/>
            <w:shd w:fill="CCEEFF" w:val="clear"/>
            <w:vAlign w:val="bottom"/>
          </w:tcPr>
          <w:p>
            <w:pPr>
              <w:pStyle w:val="TableContents"/>
              <w:bidi w:val="0"/>
              <w:spacing w:before="0" w:after="283"/>
              <w:jc w:val="right"/>
              <w:rPr/>
            </w:pPr>
            <w:r>
              <w:rPr/>
              <w:t>18,290</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49,615</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38,234</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711,919</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555,995</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86,717</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79,693</w:t>
            </w:r>
          </w:p>
        </w:tc>
        <w:tc>
          <w:tcPr>
            <w:tcW w:w="278" w:type="dxa"/>
            <w:tcBorders/>
            <w:vAlign w:val="bottom"/>
          </w:tcPr>
          <w:p>
            <w:pPr>
              <w:pStyle w:val="TableContents"/>
              <w:bidi w:val="0"/>
              <w:spacing w:before="0" w:after="283"/>
              <w:jc w:val="left"/>
              <w:rPr/>
            </w:pPr>
            <w:r>
              <w:rPr/>
              <w:t> </w:t>
            </w:r>
          </w:p>
        </w:tc>
      </w:tr>
      <w:tr>
        <w:trPr/>
        <w:tc>
          <w:tcPr>
            <w:tcW w:w="5587"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39"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 before funds held for clients</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869,152</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692,212</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Times New Roman" w:hAnsi="Times New Roman"/>
                <w:sz w:val="20"/>
              </w:rPr>
            </w:pPr>
            <w:r>
              <w:rPr>
                <w:rFonts w:ascii="Times New Roman" w:hAnsi="Times New Roman"/>
                <w:sz w:val="20"/>
              </w:rPr>
              <w:t>Funds held for clients</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135,047</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207,037</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2,846,962</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2,869,790</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b/>
              </w:rPr>
            </w:pPr>
            <w:r>
              <w:rPr>
                <w:b/>
              </w:rPr>
              <w:t>4,573,706</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b/>
              </w:rPr>
            </w:pPr>
            <w:r>
              <w:rPr>
                <w:b/>
              </w:rPr>
              <w:t>4,409,528</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 before client fund obligations, excluding short-term debt</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464,562</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462,484</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Times New Roman" w:hAnsi="Times New Roman"/>
                <w:sz w:val="20"/>
              </w:rPr>
            </w:pPr>
            <w:r>
              <w:rPr>
                <w:rFonts w:ascii="Times New Roman" w:hAnsi="Times New Roman"/>
                <w:sz w:val="20"/>
              </w:rPr>
              <w:t>Client fund obligations</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135,308</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206,738</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Term Loan (1)</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87,500</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70,000</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Times New Roman" w:hAnsi="Times New Roman"/>
                <w:sz w:val="20"/>
              </w:rPr>
            </w:pPr>
            <w:r>
              <w:rPr>
                <w:rFonts w:ascii="Times New Roman" w:hAnsi="Times New Roman"/>
                <w:sz w:val="20"/>
              </w:rPr>
              <w:t>Revolver Facility (1)</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178,500</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142,400</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portion, Term Loan(1)</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1,207,500</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1,260,000</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b/>
              </w:rPr>
            </w:pPr>
            <w:r>
              <w:rPr>
                <w:b/>
              </w:rPr>
              <w:t>2,705,974</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b/>
              </w:rPr>
            </w:pPr>
            <w:r>
              <w:rPr>
                <w:b/>
              </w:rPr>
              <w:t>2,647,461</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(1,148,632</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(1,078,521</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b/>
              </w:rPr>
            </w:pPr>
            <w:r>
              <w:rPr>
                <w:b/>
              </w:rPr>
              <w:t>1,867,732</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b/>
              </w:rPr>
            </w:pPr>
            <w:r>
              <w:rPr>
                <w:b/>
              </w:rPr>
              <w:t>1,762,067</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to equity</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69.3</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75.5</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Times New Roman" w:hAnsi="Times New Roman"/>
                <w:sz w:val="20"/>
              </w:rPr>
            </w:pPr>
            <w:r>
              <w:rPr>
                <w:rFonts w:ascii="Times New Roman" w:hAnsi="Times New Roman"/>
                <w:sz w:val="20"/>
              </w:rPr>
              <w:t>Days sales outstanding (DSO) (2)</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89</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71</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outstanding</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53,970</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54,380</w:t>
            </w:r>
          </w:p>
        </w:tc>
        <w:tc>
          <w:tcPr>
            <w:tcW w:w="278" w:type="dxa"/>
            <w:tcBorders/>
            <w:shd w:fill="CCEEFF" w:val="clear"/>
            <w:vAlign w:val="bottom"/>
          </w:tcPr>
          <w:p>
            <w:pPr>
              <w:pStyle w:val="TableContents"/>
              <w:bidi w:val="0"/>
              <w:spacing w:before="0" w:after="283"/>
              <w:jc w:val="left"/>
              <w:rPr/>
            </w:pPr>
            <w:r>
              <w:rPr/>
              <w:t> </w:t>
            </w:r>
          </w:p>
        </w:tc>
      </w:tr>
      <w:tr>
        <w:trPr/>
        <w:tc>
          <w:tcPr>
            <w:tcW w:w="5587" w:type="dxa"/>
            <w:tcBorders/>
          </w:tcPr>
          <w:p>
            <w:pPr>
              <w:pStyle w:val="TableContents"/>
              <w:bidi w:val="0"/>
              <w:spacing w:before="0" w:after="0"/>
              <w:jc w:val="left"/>
              <w:rPr>
                <w:rFonts w:ascii="Times New Roman" w:hAnsi="Times New Roman"/>
                <w:sz w:val="20"/>
              </w:rPr>
            </w:pPr>
            <w:r>
              <w:rPr>
                <w:rFonts w:ascii="Times New Roman" w:hAnsi="Times New Roman"/>
                <w:sz w:val="20"/>
              </w:rPr>
              <w:t>Basic weighted average common shares outstanding</w:t>
            </w:r>
          </w:p>
        </w:tc>
        <w:tc>
          <w:tcPr>
            <w:tcW w:w="4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60,444</w:t>
            </w:r>
          </w:p>
        </w:tc>
        <w:tc>
          <w:tcPr>
            <w:tcW w:w="275"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39" w:type="dxa"/>
            <w:tcBorders/>
            <w:vAlign w:val="bottom"/>
          </w:tcPr>
          <w:p>
            <w:pPr>
              <w:pStyle w:val="TableContents"/>
              <w:bidi w:val="0"/>
              <w:spacing w:before="0" w:after="283"/>
              <w:jc w:val="right"/>
              <w:rPr/>
            </w:pPr>
            <w:r>
              <w:rPr/>
              <w:t>62,909</w:t>
            </w:r>
          </w:p>
        </w:tc>
        <w:tc>
          <w:tcPr>
            <w:tcW w:w="278" w:type="dxa"/>
            <w:tcBorders/>
            <w:vAlign w:val="bottom"/>
          </w:tcPr>
          <w:p>
            <w:pPr>
              <w:pStyle w:val="TableContents"/>
              <w:bidi w:val="0"/>
              <w:spacing w:before="0" w:after="283"/>
              <w:jc w:val="left"/>
              <w:rPr/>
            </w:pPr>
            <w:r>
              <w:rPr/>
              <w:t> </w:t>
            </w:r>
          </w:p>
        </w:tc>
      </w:tr>
      <w:tr>
        <w:trPr/>
        <w:tc>
          <w:tcPr>
            <w:tcW w:w="5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shares outstanding</w:t>
            </w:r>
          </w:p>
        </w:tc>
        <w:tc>
          <w:tcPr>
            <w:tcW w:w="4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60,546</w:t>
            </w:r>
          </w:p>
        </w:tc>
        <w:tc>
          <w:tcPr>
            <w:tcW w:w="275"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39" w:type="dxa"/>
            <w:tcBorders/>
            <w:shd w:fill="CCEEFF" w:val="clear"/>
            <w:vAlign w:val="bottom"/>
          </w:tcPr>
          <w:p>
            <w:pPr>
              <w:pStyle w:val="TableContents"/>
              <w:bidi w:val="0"/>
              <w:spacing w:before="0" w:after="283"/>
              <w:jc w:val="right"/>
              <w:rPr/>
            </w:pPr>
            <w:r>
              <w:rPr/>
              <w:t>63,240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gross debt for the Term Loan and Revolving Credit Facility excluding the associated unamortized deferred debt issuance costs totaling $13.8 million and $16.5 million, respectively, as of June 30, 2026 and December 31,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DSO is provided for continuing operations and represents accounts receivable, net, at the end of the period, divided by trailing twelve-months daily revenue. The Company has included DSO data because such data is commonly used as a performance measure by analysts and investors and as a measure of the Company’s ability to collect on receivables in a timely manner. DSO should not be regarded as an alternative or replacement to any measurement of performance under GAAP. DSO on June 30, 2025, was 87.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GAAP RECONCILIATION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Net Income (Loss) and Diluted Earnings Per Share (“EPS”) to Adjusted Net Income (Loss), Adjusted Diluted EPS, Adjusted EBITDA, and Adjusted EBITDA Margin(1)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8"/>
        <w:gridCol w:w="182"/>
        <w:gridCol w:w="143"/>
        <w:gridCol w:w="831"/>
        <w:gridCol w:w="328"/>
        <w:gridCol w:w="124"/>
        <w:gridCol w:w="218"/>
        <w:gridCol w:w="1084"/>
        <w:gridCol w:w="328"/>
        <w:gridCol w:w="124"/>
        <w:gridCol w:w="209"/>
        <w:gridCol w:w="1150"/>
        <w:gridCol w:w="155"/>
        <w:gridCol w:w="124"/>
        <w:gridCol w:w="201"/>
        <w:gridCol w:w="1193"/>
        <w:gridCol w:w="328"/>
        <w:gridCol w:w="124"/>
        <w:gridCol w:w="140"/>
        <w:gridCol w:w="515"/>
        <w:gridCol w:w="166"/>
      </w:tblGrid>
      <w:tr>
        <w:trPr/>
        <w:tc>
          <w:tcPr>
            <w:tcW w:w="2538"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31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166" w:type="dxa"/>
            <w:tcBorders/>
            <w:vAlign w:val="bottom"/>
          </w:tcPr>
          <w:p>
            <w:pPr>
              <w:pStyle w:val="TableContents"/>
              <w:bidi w:val="0"/>
              <w:spacing w:before="0" w:after="283"/>
              <w:jc w:val="left"/>
              <w:rPr/>
            </w:pPr>
            <w:r>
              <w:rPr/>
              <w:t> </w:t>
            </w:r>
          </w:p>
        </w:tc>
      </w:tr>
      <w:tr>
        <w:trPr/>
        <w:tc>
          <w:tcPr>
            <w:tcW w:w="25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6" w:type="dxa"/>
            <w:tcBorders/>
            <w:vAlign w:val="bottom"/>
          </w:tcPr>
          <w:p>
            <w:pPr>
              <w:pStyle w:val="TableContents"/>
              <w:bidi w:val="0"/>
              <w:spacing w:before="0" w:after="283"/>
              <w:jc w:val="left"/>
              <w:rPr/>
            </w:pPr>
            <w:r>
              <w:rPr/>
              <w:t> </w:t>
            </w:r>
          </w:p>
        </w:tc>
      </w:tr>
      <w:tr>
        <w:trPr/>
        <w:tc>
          <w:tcPr>
            <w:tcW w:w="25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80,397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15,647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50" w:type="dxa"/>
            <w:tcBorders/>
            <w:shd w:fill="CCEEFF" w:val="clear"/>
            <w:vAlign w:val="bottom"/>
          </w:tcPr>
          <w:p>
            <w:pPr>
              <w:pStyle w:val="TableContents"/>
              <w:bidi w:val="0"/>
              <w:spacing w:before="0" w:after="283"/>
              <w:jc w:val="right"/>
              <w:rPr>
                <w:b/>
              </w:rPr>
            </w:pPr>
            <w:r>
              <w:rPr>
                <w:b/>
              </w:rPr>
              <w:t>(77,440</w:t>
            </w:r>
          </w:p>
        </w:tc>
        <w:tc>
          <w:tcPr>
            <w:tcW w:w="155"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3" w:type="dxa"/>
            <w:tcBorders/>
            <w:shd w:fill="CCEEFF" w:val="clear"/>
            <w:vAlign w:val="bottom"/>
          </w:tcPr>
          <w:p>
            <w:pPr>
              <w:pStyle w:val="TableContents"/>
              <w:bidi w:val="0"/>
              <w:spacing w:before="0" w:after="283"/>
              <w:jc w:val="right"/>
              <w:rPr>
                <w:b/>
              </w:rPr>
            </w:pPr>
            <w:r>
              <w:rPr>
                <w:b/>
              </w:rPr>
              <w:t>18,604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0.31</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17,123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1,240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18,363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0.31</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5,587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9,214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14,801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0.25</w:t>
            </w:r>
          </w:p>
        </w:tc>
        <w:tc>
          <w:tcPr>
            <w:tcW w:w="166"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projects related costs(3)</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6,344</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6,344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0.11</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compensation(4)</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1,003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4,005</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5,008</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0.08</w:t>
            </w:r>
          </w:p>
        </w:tc>
        <w:tc>
          <w:tcPr>
            <w:tcW w:w="166"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and related costs(5)</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7,200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7,200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0.12</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ESPP correction income (6)</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(1,593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(1,593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(0.03</w:t>
            </w:r>
          </w:p>
        </w:tc>
        <w:tc>
          <w:tcPr>
            <w:tcW w:w="166"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(14,410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(14,410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(0.24</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3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104,110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16,887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150" w:type="dxa"/>
            <w:tcBorders/>
            <w:vAlign w:val="bottom"/>
          </w:tcPr>
          <w:p>
            <w:pPr>
              <w:pStyle w:val="TableContents"/>
              <w:bidi w:val="0"/>
              <w:spacing w:before="0" w:after="283"/>
              <w:jc w:val="right"/>
              <w:rPr>
                <w:b/>
              </w:rPr>
            </w:pPr>
            <w:r>
              <w:rPr>
                <w:b/>
              </w:rPr>
              <w:t>(66,680</w:t>
            </w:r>
          </w:p>
        </w:tc>
        <w:tc>
          <w:tcPr>
            <w:tcW w:w="155"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93" w:type="dxa"/>
            <w:tcBorders/>
            <w:vAlign w:val="bottom"/>
          </w:tcPr>
          <w:p>
            <w:pPr>
              <w:pStyle w:val="TableContents"/>
              <w:bidi w:val="0"/>
              <w:spacing w:before="0" w:after="283"/>
              <w:jc w:val="right"/>
              <w:rPr>
                <w:b/>
              </w:rPr>
            </w:pPr>
            <w:r>
              <w:rPr>
                <w:b/>
              </w:rPr>
              <w:t>54,317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15" w:type="dxa"/>
            <w:tcBorders/>
            <w:vAlign w:val="bottom"/>
          </w:tcPr>
          <w:p>
            <w:pPr>
              <w:pStyle w:val="TableContents"/>
              <w:bidi w:val="0"/>
              <w:spacing w:before="0" w:after="283"/>
              <w:jc w:val="right"/>
              <w:rPr>
                <w:b/>
              </w:rPr>
            </w:pPr>
            <w:r>
              <w:rPr>
                <w:b/>
              </w:rPr>
              <w:t>0.91</w:t>
            </w:r>
          </w:p>
        </w:tc>
        <w:tc>
          <w:tcPr>
            <w:tcW w:w="166" w:type="dxa"/>
            <w:tcBorders/>
            <w:vAlign w:val="bottom"/>
          </w:tcPr>
          <w:p>
            <w:pPr>
              <w:pStyle w:val="TableContents"/>
              <w:bidi w:val="0"/>
              <w:spacing w:before="0" w:after="283"/>
              <w:jc w:val="left"/>
              <w:rPr/>
            </w:pPr>
            <w:r>
              <w:rPr/>
              <w:t> </w:t>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24,335</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24,335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5,082</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5,082</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14,410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14,410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(7)</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3,081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477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1,447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5,005</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107,191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17,364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50" w:type="dxa"/>
            <w:tcBorders/>
            <w:shd w:fill="CCEEFF" w:val="clear"/>
            <w:vAlign w:val="bottom"/>
          </w:tcPr>
          <w:p>
            <w:pPr>
              <w:pStyle w:val="TableContents"/>
              <w:bidi w:val="0"/>
              <w:spacing w:before="0" w:after="283"/>
              <w:jc w:val="right"/>
              <w:rPr>
                <w:b/>
              </w:rPr>
            </w:pPr>
            <w:r>
              <w:rPr>
                <w:b/>
              </w:rPr>
              <w:t>(21,406</w:t>
            </w:r>
          </w:p>
        </w:tc>
        <w:tc>
          <w:tcPr>
            <w:tcW w:w="155"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3" w:type="dxa"/>
            <w:tcBorders/>
            <w:shd w:fill="CCEEFF" w:val="clear"/>
            <w:vAlign w:val="bottom"/>
          </w:tcPr>
          <w:p>
            <w:pPr>
              <w:pStyle w:val="TableContents"/>
              <w:bidi w:val="0"/>
              <w:spacing w:before="0" w:after="283"/>
              <w:jc w:val="right"/>
              <w:rPr>
                <w:b/>
              </w:rPr>
            </w:pPr>
            <w:r>
              <w:rPr>
                <w:b/>
              </w:rPr>
              <w:t>103,149</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b/>
              </w:rPr>
            </w:pPr>
            <w:r>
              <w:rPr>
                <w:b/>
              </w:rPr>
              <w:t>18.5</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b/>
              </w:rPr>
            </w:pPr>
            <w:r>
              <w:rPr>
                <w:b/>
              </w:rPr>
              <w:t>17.0</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b/>
              </w:rPr>
            </w:pPr>
            <w:r>
              <w:rPr>
                <w:b/>
              </w:rPr>
              <w:t>N/A</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b/>
              </w:rPr>
            </w:pPr>
            <w:r>
              <w:rPr>
                <w:b/>
              </w:rPr>
              <w:t>15.1</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38"/>
        <w:gridCol w:w="182"/>
        <w:gridCol w:w="143"/>
        <w:gridCol w:w="831"/>
        <w:gridCol w:w="328"/>
        <w:gridCol w:w="124"/>
        <w:gridCol w:w="218"/>
        <w:gridCol w:w="1084"/>
        <w:gridCol w:w="328"/>
        <w:gridCol w:w="124"/>
        <w:gridCol w:w="209"/>
        <w:gridCol w:w="1150"/>
        <w:gridCol w:w="155"/>
        <w:gridCol w:w="124"/>
        <w:gridCol w:w="201"/>
        <w:gridCol w:w="1193"/>
        <w:gridCol w:w="328"/>
        <w:gridCol w:w="124"/>
        <w:gridCol w:w="140"/>
        <w:gridCol w:w="515"/>
        <w:gridCol w:w="166"/>
      </w:tblGrid>
      <w:tr>
        <w:trPr/>
        <w:tc>
          <w:tcPr>
            <w:tcW w:w="2538"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31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c>
          <w:tcPr>
            <w:tcW w:w="166" w:type="dxa"/>
            <w:tcBorders/>
            <w:vAlign w:val="bottom"/>
          </w:tcPr>
          <w:p>
            <w:pPr>
              <w:pStyle w:val="TableContents"/>
              <w:bidi w:val="0"/>
              <w:spacing w:before="0" w:after="283"/>
              <w:jc w:val="left"/>
              <w:rPr/>
            </w:pPr>
            <w:r>
              <w:rPr/>
              <w:t> </w:t>
            </w:r>
          </w:p>
        </w:tc>
      </w:tr>
      <w:tr>
        <w:trPr/>
        <w:tc>
          <w:tcPr>
            <w:tcW w:w="253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6" w:type="dxa"/>
            <w:tcBorders/>
            <w:vAlign w:val="bottom"/>
          </w:tcPr>
          <w:p>
            <w:pPr>
              <w:pStyle w:val="TableContents"/>
              <w:bidi w:val="0"/>
              <w:spacing w:before="0" w:after="283"/>
              <w:jc w:val="left"/>
              <w:rPr/>
            </w:pPr>
            <w:r>
              <w:rPr/>
              <w:t> </w:t>
            </w:r>
          </w:p>
        </w:tc>
      </w:tr>
      <w:tr>
        <w:trPr/>
        <w:tc>
          <w:tcPr>
            <w:tcW w:w="25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86,602</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17,968</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50" w:type="dxa"/>
            <w:tcBorders/>
            <w:shd w:fill="CCEEFF" w:val="clear"/>
            <w:vAlign w:val="bottom"/>
          </w:tcPr>
          <w:p>
            <w:pPr>
              <w:pStyle w:val="TableContents"/>
              <w:bidi w:val="0"/>
              <w:spacing w:before="0" w:after="283"/>
              <w:jc w:val="right"/>
              <w:rPr>
                <w:b/>
              </w:rPr>
            </w:pPr>
            <w:r>
              <w:rPr>
                <w:b/>
              </w:rPr>
              <w:t>(62,628</w:t>
            </w:r>
          </w:p>
        </w:tc>
        <w:tc>
          <w:tcPr>
            <w:tcW w:w="155"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3" w:type="dxa"/>
            <w:tcBorders/>
            <w:shd w:fill="CCEEFF" w:val="clear"/>
            <w:vAlign w:val="bottom"/>
          </w:tcPr>
          <w:p>
            <w:pPr>
              <w:pStyle w:val="TableContents"/>
              <w:bidi w:val="0"/>
              <w:spacing w:before="0" w:after="283"/>
              <w:jc w:val="right"/>
              <w:rPr>
                <w:b/>
              </w:rPr>
            </w:pPr>
            <w:r>
              <w:rPr>
                <w:b/>
              </w:rPr>
              <w:t>41,942</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0.66</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17,091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1,699</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18,790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0.29</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4,987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226</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13,950</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19,163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0.30</w:t>
            </w:r>
          </w:p>
        </w:tc>
        <w:tc>
          <w:tcPr>
            <w:tcW w:w="166"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and related costs(5)</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(11,859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(11,859</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(0.19</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compensation(4)</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3,243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3,243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0.05</w:t>
            </w:r>
          </w:p>
        </w:tc>
        <w:tc>
          <w:tcPr>
            <w:tcW w:w="166" w:type="dxa"/>
            <w:tcBorders/>
            <w:vAlign w:val="bottom"/>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(8,241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(8,241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(0.12</w:t>
            </w:r>
          </w:p>
        </w:tc>
        <w:tc>
          <w:tcPr>
            <w:tcW w:w="166" w:type="dxa"/>
            <w:tcBorders/>
            <w:shd w:fill="CCEEFF" w:val="clear"/>
            <w:vAlign w:val="bottom"/>
          </w:tcPr>
          <w:p>
            <w:pPr>
              <w:pStyle w:val="TableContents"/>
              <w:bidi w:val="0"/>
              <w:spacing w:before="0" w:after="283"/>
              <w:jc w:val="left"/>
              <w:rPr/>
            </w:pPr>
            <w:r>
              <w:rPr/>
              <w:t>) </w:t>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3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108,680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19,893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b/>
              </w:rPr>
            </w:pPr>
            <w:r>
              <w:rPr>
                <w:b/>
              </w:rPr>
              <w:t>$</w:t>
            </w:r>
          </w:p>
        </w:tc>
        <w:tc>
          <w:tcPr>
            <w:tcW w:w="1150" w:type="dxa"/>
            <w:tcBorders/>
            <w:vAlign w:val="bottom"/>
          </w:tcPr>
          <w:p>
            <w:pPr>
              <w:pStyle w:val="TableContents"/>
              <w:bidi w:val="0"/>
              <w:spacing w:before="0" w:after="283"/>
              <w:jc w:val="right"/>
              <w:rPr>
                <w:b/>
              </w:rPr>
            </w:pPr>
            <w:r>
              <w:rPr>
                <w:b/>
              </w:rPr>
              <w:t>(65,535</w:t>
            </w:r>
          </w:p>
        </w:tc>
        <w:tc>
          <w:tcPr>
            <w:tcW w:w="155"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93" w:type="dxa"/>
            <w:tcBorders/>
            <w:vAlign w:val="bottom"/>
          </w:tcPr>
          <w:p>
            <w:pPr>
              <w:pStyle w:val="TableContents"/>
              <w:bidi w:val="0"/>
              <w:spacing w:before="0" w:after="283"/>
              <w:jc w:val="right"/>
              <w:rPr>
                <w:b/>
              </w:rPr>
            </w:pPr>
            <w:r>
              <w:rPr>
                <w:b/>
              </w:rPr>
              <w:t>63,038</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15" w:type="dxa"/>
            <w:tcBorders/>
            <w:vAlign w:val="bottom"/>
          </w:tcPr>
          <w:p>
            <w:pPr>
              <w:pStyle w:val="TableContents"/>
              <w:bidi w:val="0"/>
              <w:spacing w:before="0" w:after="283"/>
              <w:jc w:val="right"/>
              <w:rPr>
                <w:b/>
              </w:rPr>
            </w:pPr>
            <w:r>
              <w:rPr>
                <w:b/>
              </w:rPr>
              <w:t>0.99</w:t>
            </w:r>
          </w:p>
        </w:tc>
        <w:tc>
          <w:tcPr>
            <w:tcW w:w="166" w:type="dxa"/>
            <w:tcBorders/>
            <w:vAlign w:val="bottom"/>
          </w:tcPr>
          <w:p>
            <w:pPr>
              <w:pStyle w:val="TableContents"/>
              <w:bidi w:val="0"/>
              <w:spacing w:before="0" w:after="283"/>
              <w:jc w:val="left"/>
              <w:rPr/>
            </w:pPr>
            <w:r>
              <w:rPr/>
              <w:t> </w:t>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27,867</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27,867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15,837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15,837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8,241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8,241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53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Depreciation(7)</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3,791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534</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1,088</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5,413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112,471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20,427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b/>
              </w:rPr>
            </w:pPr>
            <w:r>
              <w:rPr>
                <w:b/>
              </w:rPr>
              <w:t>$</w:t>
            </w:r>
          </w:p>
        </w:tc>
        <w:tc>
          <w:tcPr>
            <w:tcW w:w="1150" w:type="dxa"/>
            <w:tcBorders/>
            <w:shd w:fill="CCEEFF" w:val="clear"/>
            <w:vAlign w:val="bottom"/>
          </w:tcPr>
          <w:p>
            <w:pPr>
              <w:pStyle w:val="TableContents"/>
              <w:bidi w:val="0"/>
              <w:spacing w:before="0" w:after="283"/>
              <w:jc w:val="right"/>
              <w:rPr>
                <w:b/>
              </w:rPr>
            </w:pPr>
            <w:r>
              <w:rPr>
                <w:b/>
              </w:rPr>
              <w:t>(12,502</w:t>
            </w:r>
          </w:p>
        </w:tc>
        <w:tc>
          <w:tcPr>
            <w:tcW w:w="155"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3" w:type="dxa"/>
            <w:tcBorders/>
            <w:shd w:fill="CCEEFF" w:val="clear"/>
            <w:vAlign w:val="bottom"/>
          </w:tcPr>
          <w:p>
            <w:pPr>
              <w:pStyle w:val="TableContents"/>
              <w:bidi w:val="0"/>
              <w:spacing w:before="0" w:after="283"/>
              <w:jc w:val="right"/>
              <w:rPr>
                <w:b/>
              </w:rPr>
            </w:pPr>
            <w:r>
              <w:rPr>
                <w:b/>
              </w:rPr>
              <w:t>120,396</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3"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53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b/>
              </w:rPr>
            </w:pPr>
            <w:r>
              <w:rPr>
                <w:b/>
              </w:rPr>
              <w:t>19.3</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b/>
              </w:rPr>
            </w:pPr>
            <w:r>
              <w:rPr>
                <w:b/>
              </w:rPr>
              <w:t>20.0</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b/>
              </w:rPr>
            </w:pPr>
            <w:r>
              <w:rPr>
                <w:b/>
              </w:rPr>
              <w:t>N/A</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b/>
              </w:rPr>
            </w:pPr>
            <w:r>
              <w:rPr>
                <w:b/>
              </w:rPr>
              <w:t>17.6</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reconciles Adjusted net income (loss), Adjusted diluted EPS, Adjusted EBITDA, and Adjusted EBITDA margin to the most directly comparable GAAP financial measures. Adjusted net income (loss), Adjusted diluted EPS, Adjusted EBITDA, and Adjusted EBITDA margin exclude the impact of the Marcum Transaction and other significant non-operating related gains and losses that management does not consider on-going in nature. Please refer to the ‘Non-GAAP Financial Measures’ section for further management discussion.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 but are not limited to, certain consulting, technology, personnel, as well as other integration costs related to the Marcum Transaction.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included unusual and one-time legal and professional services costs associated with certain corporate initiatives.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expense reported for the three months ended June 30, 2026 and 2025 excluded $3.1 million and $3.4 million, respectively, of stock-based compensation expense reported as “Integration costs related to acquisitions” above.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three months ended June 30, 2026, the Company recorded an estimated loss of $7.2 million associated with a legal matter which the Company plans to settle. During the three months ended June 30, 2025, the Company recorded a gain of $12.5 million related to a legal settlement payment from a small group of former employees. The settlement loss and gain were recorded in “other income (expense), net” on the consolidated statement of comprehensive income.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amounts relating to ESPP correction. For additional information, see Item 8.01 of the Company’s Form 8-K filed today with the SEC.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expense reported for the three months ended June 30, 2026 and 2025 excluded $16 thousand and $0.9 million, respectively, of depreciation expense reported as “Integration costs related to acquisitions” above. The accelerated depreciation was associated with certain technology assets from the Marcum Transaction. </w:t>
            </w:r>
          </w:p>
        </w:tc>
      </w:tr>
    </w:tbl>
    <w:tbl>
      <w:tblPr>
        <w:tblW w:w="5000" w:type="pct"/>
        <w:jc w:val="left"/>
        <w:tblInd w:w="0" w:type="dxa"/>
        <w:tblLayout w:type="fixed"/>
        <w:tblCellMar>
          <w:top w:w="0" w:type="dxa"/>
          <w:left w:w="0" w:type="dxa"/>
          <w:bottom w:w="0" w:type="dxa"/>
          <w:right w:w="0" w:type="dxa"/>
        </w:tblCellMar>
      </w:tblPr>
      <w:tblGrid>
        <w:gridCol w:w="10205"/>
      </w:tblGrid>
      <w:tr>
        <w:trPr/>
        <w:tc>
          <w:tcPr>
            <w:tcW w:w="1020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CBIZ, INC.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GAAP RECONCILIATION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Net Income (Loss) and Diluted Earnings Per Share (“EPS”) to Adjusted Net Income (Loss), Adjusted Diluted EPS and Adjusted EBITDA(1) </w:t>
      </w:r>
    </w:p>
    <w:p>
      <w:pPr>
        <w:pStyle w:val="TextBody"/>
        <w:bidi w:val="0"/>
        <w:spacing w:before="0" w:after="0"/>
        <w:jc w:val="center"/>
        <w:rPr>
          <w:rFonts w:ascii="Times New Roman" w:hAnsi="Times New Roman"/>
          <w:b/>
          <w:i/>
          <w:sz w:val="20"/>
        </w:rPr>
      </w:pPr>
      <w:r>
        <w:rPr>
          <w:rFonts w:ascii="Times New Roman" w:hAnsi="Times New Roman"/>
          <w:b/>
          <w:i/>
          <w:sz w:val="20"/>
        </w:rPr>
        <w:t xml:space="preserve">(Unaudited. Amounts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6"/>
        <w:gridCol w:w="182"/>
        <w:gridCol w:w="143"/>
        <w:gridCol w:w="831"/>
        <w:gridCol w:w="328"/>
        <w:gridCol w:w="124"/>
        <w:gridCol w:w="218"/>
        <w:gridCol w:w="1084"/>
        <w:gridCol w:w="328"/>
        <w:gridCol w:w="124"/>
        <w:gridCol w:w="184"/>
        <w:gridCol w:w="1196"/>
        <w:gridCol w:w="154"/>
        <w:gridCol w:w="124"/>
        <w:gridCol w:w="201"/>
        <w:gridCol w:w="1194"/>
        <w:gridCol w:w="328"/>
        <w:gridCol w:w="124"/>
        <w:gridCol w:w="140"/>
        <w:gridCol w:w="515"/>
        <w:gridCol w:w="167"/>
      </w:tblGrid>
      <w:tr>
        <w:trPr/>
        <w:tc>
          <w:tcPr>
            <w:tcW w:w="251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3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2026</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289,084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39,037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(156,730</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171,391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2.83</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20,387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23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18,260</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38,670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0.64</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34,258</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2,759</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37,017</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0.61</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from acquisition related adjustment, net(3)</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(57,955</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(57,955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(0.95</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Corporate projects related costs(4)</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6,344</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6,344</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0.10</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and related costs(5)</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7,200</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7,200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0.12</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compensation(6)</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1,661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7,654</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9,315</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0.15</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ESPP correction expense (7)</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10,350</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10,350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0.17</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(14,342</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(14,342</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(0.23</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345,390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41,819</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(179,219</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207,990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3.44</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48,251</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48,251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66,824</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66,824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14,342</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14,342</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(8)</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6,265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984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2,837</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10,086</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351,655</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42,803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96" w:type="dxa"/>
            <w:tcBorders/>
            <w:vAlign w:val="bottom"/>
          </w:tcPr>
          <w:p>
            <w:pPr>
              <w:pStyle w:val="TableContents"/>
              <w:bidi w:val="0"/>
              <w:spacing w:before="0" w:after="283"/>
              <w:jc w:val="right"/>
              <w:rPr>
                <w:b/>
              </w:rPr>
            </w:pPr>
            <w:r>
              <w:rPr>
                <w:b/>
              </w:rPr>
              <w:t>(46,965</w:t>
            </w:r>
          </w:p>
        </w:tc>
        <w:tc>
          <w:tcPr>
            <w:tcW w:w="154"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94" w:type="dxa"/>
            <w:tcBorders/>
            <w:vAlign w:val="bottom"/>
          </w:tcPr>
          <w:p>
            <w:pPr>
              <w:pStyle w:val="TableContents"/>
              <w:bidi w:val="0"/>
              <w:spacing w:before="0" w:after="283"/>
              <w:jc w:val="right"/>
              <w:rPr>
                <w:b/>
              </w:rPr>
            </w:pPr>
            <w:r>
              <w:rPr>
                <w:b/>
              </w:rPr>
              <w:t>347,493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26.6</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20.4</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N/A</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b/>
              </w:rPr>
            </w:pPr>
            <w:r>
              <w:rPr>
                <w:b/>
              </w:rPr>
              <w:t>22.7</w:t>
            </w:r>
          </w:p>
        </w:tc>
        <w:tc>
          <w:tcPr>
            <w:tcW w:w="328"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rHeight w:val="240" w:hRule="atLeast"/>
        </w:trPr>
        <w:tc>
          <w:tcPr>
            <w:tcW w:w="2516" w:type="dxa"/>
            <w:tcBorders/>
            <w:vAlign w:val="center"/>
          </w:tcPr>
          <w:p>
            <w:pPr>
              <w:pStyle w:val="TableContents"/>
              <w:bidi w:val="0"/>
              <w:spacing w:before="0" w:after="283"/>
              <w:jc w:val="left"/>
              <w:rPr>
                <w:sz w:val="4"/>
                <w:szCs w:val="4"/>
              </w:rPr>
            </w:pPr>
            <w:r>
              <w:rPr>
                <w:sz w:val="4"/>
                <w:szCs w:val="4"/>
              </w:rPr>
            </w:r>
          </w:p>
        </w:tc>
        <w:tc>
          <w:tcPr>
            <w:tcW w:w="7689" w:type="dxa"/>
            <w:gridSpan w:val="20"/>
            <w:tcBorders/>
            <w:vAlign w:val="center"/>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34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2025</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Financial</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 and</w:t>
              <w:br/>
              <w:t>Insurance</w:t>
              <w:br/>
              <w:t>Services</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 &amp;</w:t>
              <w:br/>
              <w:t>Other</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Consolidated</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31" w:type="dxa"/>
            <w:tcBorders/>
            <w:shd w:fill="CCEEFF" w:val="clear"/>
            <w:vAlign w:val="bottom"/>
          </w:tcPr>
          <w:p>
            <w:pPr>
              <w:pStyle w:val="TableContents"/>
              <w:bidi w:val="0"/>
              <w:spacing w:before="0" w:after="283"/>
              <w:jc w:val="right"/>
              <w:rPr>
                <w:b/>
              </w:rPr>
            </w:pPr>
            <w:r>
              <w:rPr>
                <w:b/>
              </w:rPr>
              <w:t>291,067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b/>
              </w:rPr>
            </w:pPr>
            <w:r>
              <w:rPr>
                <w:b/>
              </w:rPr>
              <w:t>$</w:t>
            </w:r>
          </w:p>
        </w:tc>
        <w:tc>
          <w:tcPr>
            <w:tcW w:w="1084" w:type="dxa"/>
            <w:tcBorders/>
            <w:shd w:fill="CCEEFF" w:val="clear"/>
            <w:vAlign w:val="bottom"/>
          </w:tcPr>
          <w:p>
            <w:pPr>
              <w:pStyle w:val="TableContents"/>
              <w:bidi w:val="0"/>
              <w:spacing w:before="0" w:after="283"/>
              <w:jc w:val="right"/>
              <w:rPr>
                <w:b/>
              </w:rPr>
            </w:pPr>
            <w:r>
              <w:rPr>
                <w:b/>
              </w:rPr>
              <w:t>45,913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196" w:type="dxa"/>
            <w:tcBorders/>
            <w:shd w:fill="CCEEFF" w:val="clear"/>
            <w:vAlign w:val="bottom"/>
          </w:tcPr>
          <w:p>
            <w:pPr>
              <w:pStyle w:val="TableContents"/>
              <w:bidi w:val="0"/>
              <w:spacing w:before="0" w:after="283"/>
              <w:jc w:val="right"/>
              <w:rPr>
                <w:b/>
              </w:rPr>
            </w:pPr>
            <w:r>
              <w:rPr>
                <w:b/>
              </w:rPr>
              <w:t>(172,265</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94" w:type="dxa"/>
            <w:tcBorders/>
            <w:shd w:fill="CCEEFF" w:val="clear"/>
            <w:vAlign w:val="bottom"/>
          </w:tcPr>
          <w:p>
            <w:pPr>
              <w:pStyle w:val="TableContents"/>
              <w:bidi w:val="0"/>
              <w:spacing w:before="0" w:after="283"/>
              <w:jc w:val="right"/>
              <w:rPr>
                <w:b/>
              </w:rPr>
            </w:pPr>
            <w:r>
              <w:rPr>
                <w:b/>
              </w:rPr>
              <w:t>164,715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15" w:type="dxa"/>
            <w:tcBorders/>
            <w:shd w:fill="CCEEFF" w:val="clear"/>
            <w:vAlign w:val="bottom"/>
          </w:tcPr>
          <w:p>
            <w:pPr>
              <w:pStyle w:val="TableContents"/>
              <w:bidi w:val="0"/>
              <w:spacing w:before="0" w:after="283"/>
              <w:jc w:val="right"/>
              <w:rPr>
                <w:b/>
              </w:rPr>
            </w:pPr>
            <w:r>
              <w:rPr>
                <w:b/>
              </w:rPr>
              <w:t>2.58</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Adjustments: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Integration costs related to acquisitions (2)</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7,500</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382</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26,973</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34,855</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0.54</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acquired intangible assets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33,981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3,475</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37,456</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0.59</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settlement and related costs(5)</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(11,063</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(11,063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(0.17</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compensation(6)</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5,552</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5,552</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0.09</w:t>
            </w:r>
          </w:p>
        </w:tc>
        <w:tc>
          <w:tcPr>
            <w:tcW w:w="167" w:type="dxa"/>
            <w:tcBorders/>
            <w:vAlign w:val="bottom"/>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 related to adjustments</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(19,104</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(19,104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(0.31</w:t>
            </w:r>
          </w:p>
        </w:tc>
        <w:tc>
          <w:tcPr>
            <w:tcW w:w="167" w:type="dxa"/>
            <w:tcBorders/>
            <w:shd w:fill="CCEEFF" w:val="clear"/>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net income (loss)</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31" w:type="dxa"/>
            <w:tcBorders/>
            <w:vAlign w:val="bottom"/>
          </w:tcPr>
          <w:p>
            <w:pPr>
              <w:pStyle w:val="TableContents"/>
              <w:bidi w:val="0"/>
              <w:spacing w:before="0" w:after="283"/>
              <w:jc w:val="right"/>
              <w:rPr>
                <w:b/>
              </w:rPr>
            </w:pPr>
            <w:r>
              <w:rPr>
                <w:b/>
              </w:rPr>
              <w:t>332,548</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b/>
              </w:rPr>
            </w:pPr>
            <w:r>
              <w:rPr>
                <w:b/>
              </w:rPr>
              <w:t>$</w:t>
            </w:r>
          </w:p>
        </w:tc>
        <w:tc>
          <w:tcPr>
            <w:tcW w:w="1084" w:type="dxa"/>
            <w:tcBorders/>
            <w:vAlign w:val="bottom"/>
          </w:tcPr>
          <w:p>
            <w:pPr>
              <w:pStyle w:val="TableContents"/>
              <w:bidi w:val="0"/>
              <w:spacing w:before="0" w:after="283"/>
              <w:jc w:val="right"/>
              <w:rPr>
                <w:b/>
              </w:rPr>
            </w:pPr>
            <w:r>
              <w:rPr>
                <w:b/>
              </w:rPr>
              <w:t>49,770</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196" w:type="dxa"/>
            <w:tcBorders/>
            <w:vAlign w:val="bottom"/>
          </w:tcPr>
          <w:p>
            <w:pPr>
              <w:pStyle w:val="TableContents"/>
              <w:bidi w:val="0"/>
              <w:spacing w:before="0" w:after="283"/>
              <w:jc w:val="right"/>
              <w:rPr>
                <w:b/>
              </w:rPr>
            </w:pPr>
            <w:r>
              <w:rPr>
                <w:b/>
              </w:rPr>
              <w:t>(169,907</w:t>
            </w:r>
          </w:p>
        </w:tc>
        <w:tc>
          <w:tcPr>
            <w:tcW w:w="154"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94" w:type="dxa"/>
            <w:tcBorders/>
            <w:vAlign w:val="bottom"/>
          </w:tcPr>
          <w:p>
            <w:pPr>
              <w:pStyle w:val="TableContents"/>
              <w:bidi w:val="0"/>
              <w:spacing w:before="0" w:after="283"/>
              <w:jc w:val="right"/>
              <w:rPr>
                <w:b/>
              </w:rPr>
            </w:pPr>
            <w:r>
              <w:rPr>
                <w:b/>
              </w:rPr>
              <w:t>212,411</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15" w:type="dxa"/>
            <w:tcBorders/>
            <w:vAlign w:val="bottom"/>
          </w:tcPr>
          <w:p>
            <w:pPr>
              <w:pStyle w:val="TableContents"/>
              <w:bidi w:val="0"/>
              <w:spacing w:before="0" w:after="283"/>
              <w:jc w:val="right"/>
              <w:rPr>
                <w:b/>
              </w:rPr>
            </w:pPr>
            <w:r>
              <w:rPr>
                <w:b/>
              </w:rPr>
              <w:t>3.32</w:t>
            </w:r>
          </w:p>
        </w:tc>
        <w:tc>
          <w:tcPr>
            <w:tcW w:w="167" w:type="dxa"/>
            <w:tcBorders/>
            <w:vAlign w:val="bottom"/>
          </w:tcPr>
          <w:p>
            <w:pPr>
              <w:pStyle w:val="TableContents"/>
              <w:bidi w:val="0"/>
              <w:spacing w:before="0" w:after="283"/>
              <w:jc w:val="left"/>
              <w:rPr/>
            </w:pPr>
            <w:r>
              <w:rPr/>
              <w:t> </w:t>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19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53,023</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53,023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65,974</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65,974</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effect related to the adjustments above</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— </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19,104</w:t>
            </w:r>
          </w:p>
        </w:tc>
        <w:tc>
          <w:tcPr>
            <w:tcW w:w="15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19,104</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Depreciation(8)</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7,349</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1,083</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2,177</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10,609</w:t>
            </w:r>
          </w:p>
        </w:tc>
        <w:tc>
          <w:tcPr>
            <w:tcW w:w="328"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8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8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b/>
              </w:rPr>
            </w:pPr>
            <w:r>
              <w:rPr>
                <w:b/>
              </w:rPr>
              <w:t>339,897</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b/>
              </w:rPr>
            </w:pPr>
            <w:r>
              <w:rPr>
                <w:b/>
              </w:rPr>
              <w:t>50,853</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b/>
              </w:rPr>
            </w:pPr>
            <w:r>
              <w:rPr>
                <w:b/>
              </w:rPr>
              <w:t>(29,629</w:t>
            </w:r>
          </w:p>
        </w:tc>
        <w:tc>
          <w:tcPr>
            <w:tcW w:w="154"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b/>
              </w:rPr>
            </w:pPr>
            <w:r>
              <w:rPr>
                <w:b/>
              </w:rPr>
              <w:t>361,121</w:t>
            </w:r>
          </w:p>
        </w:tc>
        <w:tc>
          <w:tcPr>
            <w:tcW w:w="328"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2516"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8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2516" w:type="dxa"/>
            <w:tcBorders/>
          </w:tcPr>
          <w:p>
            <w:pPr>
              <w:pStyle w:val="TableContents"/>
              <w:bidi w:val="0"/>
              <w:spacing w:before="0" w:after="0"/>
              <w:jc w:val="left"/>
              <w:rPr>
                <w:rFonts w:ascii="Times New Roman" w:hAnsi="Times New Roman"/>
                <w:b/>
                <w:sz w:val="20"/>
              </w:rPr>
            </w:pPr>
            <w:r>
              <w:rPr>
                <w:rFonts w:ascii="Times New Roman" w:hAnsi="Times New Roman"/>
                <w:b/>
                <w:sz w:val="20"/>
              </w:rPr>
              <w:t>As a % of Revenue</w:t>
            </w:r>
          </w:p>
        </w:tc>
        <w:tc>
          <w:tcPr>
            <w:tcW w:w="18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b/>
              </w:rPr>
            </w:pPr>
            <w:r>
              <w:rPr>
                <w:b/>
              </w:rPr>
              <w:t>26.0</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b/>
              </w:rPr>
            </w:pPr>
            <w:r>
              <w:rPr>
                <w:b/>
              </w:rPr>
              <w:t>23.7</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b/>
              </w:rPr>
            </w:pPr>
            <w:r>
              <w:rPr>
                <w:b/>
              </w:rPr>
              <w:t>N/A</w:t>
            </w:r>
          </w:p>
        </w:tc>
        <w:tc>
          <w:tcPr>
            <w:tcW w:w="15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b/>
              </w:rPr>
            </w:pPr>
            <w:r>
              <w:rPr>
                <w:b/>
              </w:rPr>
              <w:t>23.7</w:t>
            </w:r>
          </w:p>
        </w:tc>
        <w:tc>
          <w:tcPr>
            <w:tcW w:w="328"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reconciles Adjusted net income (loss), Adjusted diluted EPS, Adjusted EBITDA, and Adjusted EBITDA margin to the most directly comparable GAAP financial measures. Adjusted net income (loss), Adjusted diluted EPS, Adjusted EBITDA, and Adjusted EBITDA margin exclude the impact of the Marcum Transaction and other significant non-operating related gains and losses that management does not consider on-going in nature. Please refer to the ‘Non-GAAP Financial Measures’ section for further management discussion.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 but are not limited to, certain consulting, technology, personnel, as well as other integration costs related to the Marcum Transaction.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related the finalization of working capital and related purchase price adjustments associated with the Marcum Transaction.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costs included unusual and one-time legal and professional services costs associated with certain corporate initiatives.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six months ended June 30, 2026, the Company recorded an estimated loss of $7.2 million associated with a legal matter which the Company plans to settle. During the six months ended June 30, 2025, the Company recorded a gain of $12.5 million related to a legal settlement payment from a small group of former employees. The settlement loss and gain were recorded in “other income (expense), net” on the consolidated statement of comprehensive income.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Stock-based compensation expense reported for the six months ended June 30, 2026 and 2025 excluded $6.3 million and $6.7 million, respectively, of stock-based compensation expense reported as “Integration costs related to acquisitions” above.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amounts relating to ESPP correction expense. For additional information, see Item 8.01 of the Company’s Form 8-K filed today with the SEC.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expense reported for the six months ended June 30, 2026 and 2025 excluded $32 thousand and $1.8 million, respectively, of depreciation expense reported as “Integration costs related to acquisitions” above. The accelerated depreciation was associated with certain technology assets from the Marcum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w:t>
      </w:r>
    </w:p>
    <w:p>
      <w:pPr>
        <w:pStyle w:val="TextBody"/>
        <w:bidi w:val="0"/>
        <w:spacing w:before="240" w:after="0"/>
        <w:jc w:val="center"/>
        <w:rPr>
          <w:rFonts w:ascii="Times New Roman" w:hAnsi="Times New Roman"/>
          <w:sz w:val="20"/>
        </w:rPr>
      </w:pPr>
      <w:r>
        <w:rPr>
          <w:rFonts w:ascii="Times New Roman" w:hAnsi="Times New Roman"/>
          <w:b/>
          <w:sz w:val="20"/>
        </w:rPr>
        <w:t xml:space="preserve">NYSE: CBZ </w:t>
      </w:r>
      <w:r>
        <w:rPr>
          <w:rFonts w:ascii="Times New Roman" w:hAnsi="Times New Roman"/>
          <w:sz w:val="20"/>
        </w:rPr>
        <w:t xml:space="preserve">● </w:t>
      </w:r>
      <w:r>
        <w:rPr>
          <w:rFonts w:ascii="Times New Roman" w:hAnsi="Times New Roman"/>
          <w:b/>
          <w:sz w:val="20"/>
        </w:rPr>
        <w:t xml:space="preserve">www.CBIZ.com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6746</Words>
  <Characters>37684</Characters>
  <CharactersWithSpaces>46286</CharactersWithSpaces>
  <Paragraphs>3836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